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tabs>
          <w:tab w:val="right" w:pos="8280" w:leader="none"/>
          <w:tab w:val="right" w:pos="9781" w:leader="none"/>
        </w:tabs>
        <w:ind w:right="-58" w:hanging="0"/>
        <w:jc w:val="both"/>
        <w:rPr>
          <w:rFonts w:ascii="Arial" w:hAnsi="Arial"/>
          <w:b/>
          <w:b/>
          <w:sz w:val="24"/>
          <w:szCs w:val="24"/>
          <w:lang w:val="de-DE"/>
        </w:rPr>
      </w:pPr>
      <w:r>
        <w:rPr>
          <w:rFonts w:cs="Arial" w:ascii="Arial" w:hAnsi="Arial"/>
          <w:b/>
          <w:bCs/>
          <w:sz w:val="24"/>
          <w:szCs w:val="24"/>
          <w:lang w:val="de-DE"/>
        </w:rPr>
        <w:t>3GPP TSG RAN WG1</w:t>
      </w:r>
      <w:r>
        <w:rPr>
          <w:rFonts w:cs="Arial" w:ascii="Arial" w:hAnsi="Arial"/>
          <w:b/>
          <w:bCs/>
          <w:sz w:val="24"/>
          <w:szCs w:val="24"/>
          <w:lang w:val="de-DE" w:eastAsia="ja-JP"/>
        </w:rPr>
        <w:t xml:space="preserve"> #104-bis-e</w:t>
        <w:tab/>
        <w:t xml:space="preserve">     </w:t>
      </w:r>
      <w:r>
        <w:rPr>
          <w:rFonts w:ascii="Arial" w:hAnsi="Arial"/>
          <w:b/>
          <w:sz w:val="24"/>
          <w:szCs w:val="24"/>
          <w:lang w:val="de-DE"/>
        </w:rPr>
        <w:t xml:space="preserve">               R1-2103407</w:t>
      </w:r>
    </w:p>
    <w:p>
      <w:pPr>
        <w:pStyle w:val="Normal"/>
        <w:widowControl w:val="false"/>
        <w:tabs>
          <w:tab w:val="right" w:pos="8280" w:leader="none"/>
          <w:tab w:val="right" w:pos="9781" w:leader="none"/>
        </w:tabs>
        <w:ind w:right="-58" w:hanging="0"/>
        <w:jc w:val="both"/>
        <w:rPr>
          <w:rFonts w:ascii="Arial" w:hAnsi="Arial"/>
          <w:b/>
          <w:b/>
          <w:sz w:val="24"/>
          <w:szCs w:val="24"/>
        </w:rPr>
      </w:pPr>
      <w:r>
        <w:rPr>
          <w:rFonts w:cs="Arial" w:ascii="Arial" w:hAnsi="Arial"/>
          <w:b/>
          <w:bCs/>
          <w:sz w:val="24"/>
          <w:szCs w:val="24"/>
          <w:lang w:eastAsia="ja-JP"/>
        </w:rPr>
        <w:t>e-meeting, April 12</w:t>
      </w:r>
      <w:r>
        <w:rPr>
          <w:rFonts w:cs="Arial" w:ascii="Arial" w:hAnsi="Arial"/>
          <w:b/>
          <w:bCs/>
          <w:sz w:val="24"/>
          <w:szCs w:val="24"/>
          <w:vertAlign w:val="superscript"/>
          <w:lang w:eastAsia="ja-JP"/>
        </w:rPr>
        <w:t>th</w:t>
      </w:r>
      <w:r>
        <w:rPr>
          <w:rFonts w:cs="Arial" w:ascii="Arial" w:hAnsi="Arial"/>
          <w:b/>
          <w:bCs/>
          <w:sz w:val="24"/>
          <w:szCs w:val="24"/>
          <w:lang w:eastAsia="ja-JP"/>
        </w:rPr>
        <w:t xml:space="preserve"> – April 20</w:t>
      </w:r>
      <w:r>
        <w:rPr>
          <w:rFonts w:cs="Arial" w:ascii="Arial" w:hAnsi="Arial"/>
          <w:b/>
          <w:bCs/>
          <w:sz w:val="24"/>
          <w:szCs w:val="24"/>
          <w:vertAlign w:val="superscript"/>
          <w:lang w:eastAsia="ja-JP"/>
        </w:rPr>
        <w:t>th</w:t>
      </w:r>
      <w:r>
        <w:rPr>
          <w:rFonts w:cs="Arial" w:ascii="Arial" w:hAnsi="Arial"/>
          <w:b/>
          <w:bCs/>
          <w:sz w:val="24"/>
          <w:szCs w:val="24"/>
          <w:lang w:eastAsia="ja-JP"/>
        </w:rPr>
        <w:t>,2021</w:t>
      </w:r>
    </w:p>
    <w:p>
      <w:pPr>
        <w:pStyle w:val="Normal"/>
        <w:keepLines/>
        <w:widowControl w:val="false"/>
        <w:ind w:left="454" w:hanging="454"/>
        <w:jc w:val="both"/>
        <w:rPr>
          <w:rFonts w:eastAsia="MS Mincho"/>
          <w:sz w:val="24"/>
          <w:szCs w:val="24"/>
        </w:rPr>
      </w:pPr>
      <w:r>
        <w:rPr>
          <w:rFonts w:eastAsia="MS Mincho"/>
          <w:sz w:val="24"/>
          <w:szCs w:val="24"/>
        </w:rPr>
      </w:r>
    </w:p>
    <w:p>
      <w:pPr>
        <w:pStyle w:val="Normal"/>
        <w:widowControl w:val="false"/>
        <w:tabs>
          <w:tab w:val="left" w:pos="1701" w:leader="none"/>
          <w:tab w:val="right" w:pos="9072" w:leader="none"/>
          <w:tab w:val="right" w:pos="10206" w:leader="none"/>
        </w:tabs>
        <w:jc w:val="both"/>
        <w:rPr>
          <w:rFonts w:ascii="Arial" w:hAnsi="Arial" w:eastAsia="MS Mincho"/>
          <w:b/>
          <w:b/>
          <w:sz w:val="24"/>
          <w:szCs w:val="24"/>
          <w:lang w:eastAsia="ja-JP"/>
        </w:rPr>
      </w:pPr>
      <w:r>
        <w:rPr>
          <w:rFonts w:eastAsia="Batang" w:ascii="Arial" w:hAnsi="Arial"/>
          <w:b/>
          <w:sz w:val="24"/>
          <w:szCs w:val="24"/>
        </w:rPr>
        <w:t>Source:</w:t>
        <w:tab/>
      </w:r>
      <w:r>
        <w:rPr>
          <w:rFonts w:eastAsia="Batang" w:ascii="Arial" w:hAnsi="Arial"/>
          <w:sz w:val="24"/>
          <w:szCs w:val="24"/>
        </w:rPr>
        <w:t>CEWiT</w:t>
      </w:r>
    </w:p>
    <w:p>
      <w:pPr>
        <w:pStyle w:val="Normal"/>
        <w:widowControl w:val="false"/>
        <w:tabs>
          <w:tab w:val="left" w:pos="1701" w:leader="none"/>
          <w:tab w:val="right" w:pos="9072" w:leader="none"/>
          <w:tab w:val="right" w:pos="10206" w:leader="none"/>
        </w:tabs>
        <w:jc w:val="both"/>
        <w:rPr>
          <w:rFonts w:ascii="Arial" w:hAnsi="Arial" w:eastAsia="MS Mincho"/>
          <w:sz w:val="24"/>
          <w:szCs w:val="24"/>
          <w:lang w:eastAsia="ja-JP"/>
        </w:rPr>
      </w:pPr>
      <w:r>
        <w:rPr>
          <w:rFonts w:eastAsia="Batang" w:ascii="Arial" w:hAnsi="Arial"/>
          <w:b/>
          <w:sz w:val="24"/>
          <w:szCs w:val="24"/>
        </w:rPr>
        <w:t xml:space="preserve">Title: </w:t>
        <w:tab/>
      </w:r>
      <w:r>
        <w:rPr>
          <w:rFonts w:eastAsia="MS Mincho" w:ascii="Arial" w:hAnsi="Arial"/>
          <w:sz w:val="24"/>
          <w:szCs w:val="24"/>
          <w:lang w:eastAsia="ja-JP"/>
        </w:rPr>
        <w:t>Discussion on PDSCH and PUSCH enhancements for 52.6GHz – 71GHZ band</w:t>
      </w:r>
    </w:p>
    <w:p>
      <w:pPr>
        <w:pStyle w:val="Normal"/>
        <w:jc w:val="both"/>
        <w:rPr>
          <w:rFonts w:eastAsia="MS Mincho"/>
          <w:sz w:val="24"/>
          <w:szCs w:val="24"/>
          <w:lang w:eastAsia="ja-JP"/>
        </w:rPr>
      </w:pPr>
      <w:r>
        <w:rPr>
          <w:rFonts w:eastAsia="Batang" w:ascii="Arial" w:hAnsi="Arial"/>
          <w:b/>
          <w:sz w:val="24"/>
          <w:szCs w:val="24"/>
        </w:rPr>
        <w:t xml:space="preserve">Agenda Item:   </w:t>
      </w:r>
      <w:r>
        <w:rPr>
          <w:rFonts w:eastAsia="MS Mincho" w:ascii="Arial" w:hAnsi="Arial"/>
          <w:sz w:val="24"/>
          <w:szCs w:val="24"/>
          <w:lang w:eastAsia="ja-JP"/>
        </w:rPr>
        <w:t>8.2.5</w:t>
      </w:r>
    </w:p>
    <w:p>
      <w:pPr>
        <w:pStyle w:val="Normal"/>
        <w:widowControl w:val="false"/>
        <w:tabs>
          <w:tab w:val="left" w:pos="1701" w:leader="none"/>
          <w:tab w:val="right" w:pos="9072" w:leader="none"/>
          <w:tab w:val="right" w:pos="10206" w:leader="none"/>
        </w:tabs>
        <w:jc w:val="both"/>
        <w:rPr>
          <w:rFonts w:ascii="Arial" w:hAnsi="Arial" w:eastAsia="SimSun"/>
          <w:b/>
          <w:b/>
          <w:sz w:val="24"/>
          <w:szCs w:val="24"/>
          <w:lang w:eastAsia="zh-CN"/>
        </w:rPr>
      </w:pPr>
      <w:r>
        <w:rPr>
          <w:rFonts w:eastAsia="Batang" w:ascii="Arial" w:hAnsi="Arial"/>
          <w:b/>
          <w:sz w:val="24"/>
          <w:szCs w:val="24"/>
        </w:rPr>
        <w:t>Document for:</w:t>
        <w:tab/>
      </w:r>
      <w:r>
        <w:rPr>
          <w:rFonts w:eastAsia="SimSun" w:ascii="Arial" w:hAnsi="Arial"/>
          <w:sz w:val="24"/>
          <w:szCs w:val="24"/>
          <w:lang w:eastAsia="zh-CN"/>
        </w:rPr>
        <w:t>Discussion</w:t>
      </w:r>
    </w:p>
    <w:p>
      <w:pPr>
        <w:pStyle w:val="Normal"/>
        <w:keepNext/>
        <w:keepLines/>
        <w:numPr>
          <w:ilvl w:val="0"/>
          <w:numId w:val="0"/>
        </w:numPr>
        <w:pBdr>
          <w:top w:val="single" w:sz="12" w:space="4" w:color="00000A"/>
        </w:pBdr>
        <w:tabs>
          <w:tab w:val="left" w:pos="426" w:leader="none"/>
          <w:tab w:val="left" w:pos="4969" w:leader="none"/>
        </w:tabs>
        <w:ind w:left="425" w:hanging="425"/>
        <w:jc w:val="both"/>
        <w:outlineLvl w:val="0"/>
        <w:rPr>
          <w:rFonts w:ascii="Arial" w:hAnsi="Arial" w:eastAsia="SimSun"/>
          <w:sz w:val="36"/>
          <w:szCs w:val="36"/>
          <w:lang w:eastAsia="zh-CN"/>
        </w:rPr>
      </w:pPr>
      <w:r>
        <w:rPr>
          <w:rFonts w:eastAsia="MS Mincho" w:ascii="Arial" w:hAnsi="Arial"/>
          <w:sz w:val="36"/>
          <w:szCs w:val="36"/>
        </w:rPr>
        <w:t>1</w:t>
        <w:tab/>
        <w:t>Introduction</w:t>
      </w:r>
    </w:p>
    <w:p>
      <w:pPr>
        <w:pStyle w:val="Normal"/>
        <w:spacing w:before="120" w:after="240"/>
        <w:jc w:val="both"/>
        <w:rPr>
          <w:rFonts w:eastAsia="MS Mincho"/>
          <w:lang w:eastAsia="ja-JP"/>
        </w:rPr>
      </w:pPr>
      <w:r>
        <w:rPr>
          <w:rFonts w:eastAsia="MS Mincho"/>
          <w:lang w:eastAsia="ja-JP"/>
        </w:rPr>
        <w:t>At the RAN#90-e meeting, the new WID on supporting NR from 52.6GHz to 71GHz was approved [1]. The objectives of the WI include following RAN1 works.</w:t>
      </w:r>
    </w:p>
    <w:tbl>
      <w:tblPr>
        <w:tblStyle w:val="TableGrid"/>
        <w:tblW w:w="9855" w:type="dxa"/>
        <w:jc w:val="left"/>
        <w:tblInd w:w="-5" w:type="dxa"/>
        <w:tblCellMar>
          <w:top w:w="0" w:type="dxa"/>
          <w:left w:w="103" w:type="dxa"/>
          <w:bottom w:w="0" w:type="dxa"/>
          <w:right w:w="108" w:type="dxa"/>
        </w:tblCellMar>
        <w:tblLook w:val="04a0" w:noVBand="1" w:noHBand="0" w:firstRow="1" w:lastRow="0" w:firstColumn="1" w:lastColumn="0"/>
      </w:tblPr>
      <w:tblGrid>
        <w:gridCol w:w="9855"/>
      </w:tblGrid>
      <w:tr>
        <w:trPr/>
        <w:tc>
          <w:tcPr>
            <w:tcW w:w="9855" w:type="dxa"/>
            <w:tcBorders/>
            <w:shd w:color="auto" w:fill="auto" w:val="clear"/>
            <w:tcMar>
              <w:left w:w="103" w:type="dxa"/>
            </w:tcMar>
          </w:tcPr>
          <w:p>
            <w:pPr>
              <w:pStyle w:val="ListParagraph"/>
              <w:numPr>
                <w:ilvl w:val="0"/>
                <w:numId w:val="2"/>
              </w:numPr>
              <w:spacing w:lineRule="auto" w:line="240" w:before="0" w:after="0"/>
              <w:rPr>
                <w:szCs w:val="20"/>
              </w:rPr>
            </w:pPr>
            <w:r>
              <w:rPr>
                <w:szCs w:val="20"/>
              </w:rPr>
              <w:t>Physical layer aspects including [RAN1]:</w:t>
            </w:r>
          </w:p>
          <w:p>
            <w:pPr>
              <w:pStyle w:val="B1"/>
              <w:numPr>
                <w:ilvl w:val="1"/>
                <w:numId w:val="2"/>
              </w:numPr>
              <w:spacing w:lineRule="auto" w:line="240" w:before="180" w:after="0"/>
              <w:rPr>
                <w:rFonts w:eastAsia="DengXian"/>
                <w:lang w:eastAsia="ko-KR"/>
              </w:rPr>
            </w:pPr>
            <w:r>
              <w:rPr>
                <w:rFonts w:eastAsia="DengXian"/>
                <w:szCs w:val="20"/>
                <w:lang w:eastAsia="ko-KR"/>
              </w:rPr>
              <w:t>Evaluate, and if needed, specify the PTRS enhancement for 120kHz SCS, 480kHz SCS and/or 960kHz SCS, as well as DMRS enhancement for 480kHz SCS and/or 960kHz SCS.</w:t>
            </w:r>
          </w:p>
          <w:p>
            <w:pPr>
              <w:pStyle w:val="B1"/>
              <w:numPr>
                <w:ilvl w:val="0"/>
                <w:numId w:val="2"/>
              </w:numPr>
              <w:overflowPunct w:val="true"/>
              <w:spacing w:lineRule="auto" w:line="240" w:before="180" w:after="0"/>
              <w:textAlignment w:val="auto"/>
              <w:rPr>
                <w:lang w:eastAsia="zh-CN"/>
              </w:rPr>
            </w:pPr>
            <w:r>
              <w:rPr>
                <w:szCs w:val="20"/>
                <w:lang w:eastAsia="zh-CN"/>
              </w:rPr>
              <w:t>Support enhancements for multi-PDSCH/PUSCH scheduling and HARQ support with a single DCI</w:t>
            </w:r>
          </w:p>
          <w:p>
            <w:pPr>
              <w:pStyle w:val="B1"/>
              <w:numPr>
                <w:ilvl w:val="1"/>
                <w:numId w:val="2"/>
              </w:numPr>
              <w:overflowPunct w:val="true"/>
              <w:spacing w:lineRule="auto" w:line="240" w:before="180" w:after="0"/>
              <w:textAlignment w:val="auto"/>
              <w:rPr>
                <w:lang w:eastAsia="zh-CN"/>
              </w:rPr>
            </w:pPr>
            <w:r>
              <w:rPr>
                <w:szCs w:val="20"/>
              </w:rPr>
              <w:t>Note: coverage enhancement for multi-PDSCH/PUSCH scheduling is not pursued</w:t>
            </w:r>
          </w:p>
        </w:tc>
      </w:tr>
    </w:tbl>
    <w:p>
      <w:pPr>
        <w:pStyle w:val="Normal"/>
        <w:spacing w:before="120" w:after="0"/>
        <w:jc w:val="both"/>
        <w:rPr>
          <w:rFonts w:cs="" w:asciiTheme="majorBidi" w:cstheme="majorBidi" w:hAnsiTheme="majorBidi"/>
          <w:b/>
          <w:b/>
          <w:bCs/>
          <w:i/>
          <w:i/>
          <w:iCs/>
          <w:lang w:eastAsia="zh-CN"/>
        </w:rPr>
      </w:pPr>
      <w:r>
        <w:rPr>
          <w:rFonts w:cs="" w:asciiTheme="majorBidi" w:cstheme="majorBidi" w:hAnsiTheme="majorBidi"/>
          <w:b/>
          <w:bCs/>
          <w:i/>
          <w:iCs/>
          <w:lang w:eastAsia="zh-CN"/>
        </w:rPr>
      </w:r>
    </w:p>
    <w:tbl>
      <w:tblPr>
        <w:tblStyle w:val="TableGrid"/>
        <w:tblW w:w="9855" w:type="dxa"/>
        <w:jc w:val="left"/>
        <w:tblInd w:w="-5" w:type="dxa"/>
        <w:tblCellMar>
          <w:top w:w="0" w:type="dxa"/>
          <w:left w:w="103" w:type="dxa"/>
          <w:bottom w:w="0" w:type="dxa"/>
          <w:right w:w="108" w:type="dxa"/>
        </w:tblCellMar>
        <w:tblLook w:val="04a0" w:noVBand="1" w:noHBand="0" w:lastColumn="0" w:firstColumn="1" w:lastRow="0" w:firstRow="1"/>
      </w:tblPr>
      <w:tblGrid>
        <w:gridCol w:w="9855"/>
      </w:tblGrid>
      <w:tr>
        <w:trPr/>
        <w:tc>
          <w:tcPr>
            <w:tcW w:w="9855" w:type="dxa"/>
            <w:tcBorders/>
            <w:shd w:color="auto" w:fill="auto" w:val="clear"/>
            <w:tcMar>
              <w:left w:w="103" w:type="dxa"/>
            </w:tcMar>
          </w:tcPr>
          <w:p>
            <w:pPr>
              <w:pStyle w:val="Normal"/>
              <w:spacing w:lineRule="auto" w:line="240" w:before="0" w:after="0"/>
              <w:jc w:val="both"/>
              <w:rPr>
                <w:iCs/>
              </w:rPr>
            </w:pPr>
            <w:r>
              <w:rPr>
                <w:iCs/>
                <w:szCs w:val="20"/>
                <w:lang w:eastAsia="ja-JP"/>
              </w:rPr>
              <w:t>In RAN1#103-e meeting, agreements were reached and conclusions were made as follows [2],</w:t>
            </w:r>
          </w:p>
          <w:p>
            <w:pPr>
              <w:pStyle w:val="Normal"/>
              <w:spacing w:lineRule="auto" w:line="240" w:before="0" w:after="0"/>
              <w:jc w:val="both"/>
              <w:rPr>
                <w:iCs/>
                <w:szCs w:val="20"/>
                <w:lang w:eastAsia="ja-JP"/>
              </w:rPr>
            </w:pPr>
            <w:r>
              <w:rPr>
                <w:iCs/>
                <w:szCs w:val="20"/>
                <w:lang w:eastAsia="ja-JP"/>
              </w:rPr>
            </w:r>
          </w:p>
          <w:p>
            <w:pPr>
              <w:pStyle w:val="Normal"/>
              <w:spacing w:lineRule="auto" w:line="240" w:before="0" w:after="0"/>
              <w:rPr>
                <w:szCs w:val="20"/>
                <w:lang w:eastAsia="ja-JP"/>
              </w:rPr>
            </w:pPr>
            <w:r>
              <w:rPr>
                <w:szCs w:val="20"/>
                <w:highlight w:val="green"/>
                <w:lang w:eastAsia="ja-JP"/>
              </w:rPr>
              <w:t>Agreement:</w:t>
            </w:r>
          </w:p>
          <w:p>
            <w:pPr>
              <w:pStyle w:val="Normal"/>
              <w:spacing w:lineRule="auto" w:line="240" w:before="0" w:after="0"/>
              <w:rPr>
                <w:szCs w:val="20"/>
                <w:lang w:eastAsia="ja-JP"/>
              </w:rPr>
            </w:pPr>
            <w:r>
              <w:rPr>
                <w:szCs w:val="20"/>
                <w:lang w:eastAsia="ja-JP"/>
              </w:rPr>
              <w:t>Numerologies below 120 kHz or above 960 kHz are not supported for any signal or channel.</w:t>
            </w:r>
          </w:p>
          <w:p>
            <w:pPr>
              <w:pStyle w:val="Normal"/>
              <w:spacing w:lineRule="auto" w:line="240" w:before="0" w:after="0"/>
              <w:jc w:val="both"/>
              <w:rPr>
                <w:iCs/>
                <w:szCs w:val="20"/>
                <w:lang w:eastAsia="ja-JP"/>
              </w:rPr>
            </w:pPr>
            <w:r>
              <w:rPr>
                <w:iCs/>
                <w:szCs w:val="20"/>
                <w:lang w:eastAsia="ja-JP"/>
              </w:rPr>
            </w:r>
          </w:p>
          <w:p>
            <w:pPr>
              <w:pStyle w:val="Normal"/>
              <w:spacing w:lineRule="auto" w:line="240" w:before="0" w:after="0"/>
              <w:rPr>
                <w:szCs w:val="20"/>
                <w:lang w:eastAsia="ja-JP"/>
              </w:rPr>
            </w:pPr>
            <w:r>
              <w:rPr>
                <w:szCs w:val="20"/>
                <w:highlight w:val="green"/>
                <w:lang w:eastAsia="ja-JP"/>
              </w:rPr>
              <w:t>Agreement:</w:t>
            </w:r>
          </w:p>
          <w:p>
            <w:pPr>
              <w:pStyle w:val="Normal"/>
              <w:spacing w:lineRule="auto" w:line="240" w:before="0" w:after="0"/>
              <w:rPr>
                <w:szCs w:val="20"/>
                <w:lang w:eastAsia="ja-JP"/>
              </w:rPr>
            </w:pPr>
            <w:r>
              <w:rPr>
                <w:szCs w:val="20"/>
                <w:lang w:eastAsia="ja-JP"/>
              </w:rPr>
              <w:t>For operation in 52-71 GHz:</w:t>
            </w:r>
          </w:p>
          <w:p>
            <w:pPr>
              <w:pStyle w:val="Normal"/>
              <w:numPr>
                <w:ilvl w:val="0"/>
                <w:numId w:val="1"/>
              </w:numPr>
              <w:spacing w:lineRule="auto" w:line="240" w:before="0" w:after="0"/>
              <w:rPr>
                <w:szCs w:val="20"/>
                <w:lang w:eastAsia="ja-JP"/>
              </w:rPr>
            </w:pPr>
            <w:r>
              <w:rPr>
                <w:szCs w:val="20"/>
                <w:lang w:eastAsia="ja-JP"/>
              </w:rPr>
              <w:t>120 kHz should be supported</w:t>
            </w:r>
          </w:p>
          <w:p>
            <w:pPr>
              <w:pStyle w:val="Normal"/>
              <w:numPr>
                <w:ilvl w:val="0"/>
                <w:numId w:val="1"/>
              </w:numPr>
              <w:spacing w:lineRule="auto" w:line="240" w:before="0" w:after="0"/>
              <w:rPr>
                <w:szCs w:val="20"/>
                <w:lang w:eastAsia="ja-JP"/>
              </w:rPr>
            </w:pPr>
            <w:r>
              <w:rPr>
                <w:szCs w:val="20"/>
                <w:lang w:eastAsia="ja-JP"/>
              </w:rPr>
              <w:t>Up to two additional SCS may be considered and at least one should be supported</w:t>
            </w:r>
          </w:p>
          <w:p>
            <w:pPr>
              <w:pStyle w:val="Normal"/>
              <w:numPr>
                <w:ilvl w:val="0"/>
                <w:numId w:val="1"/>
              </w:numPr>
              <w:spacing w:lineRule="auto" w:line="240" w:before="0" w:after="0"/>
              <w:rPr>
                <w:szCs w:val="20"/>
                <w:lang w:eastAsia="ja-JP"/>
              </w:rPr>
            </w:pPr>
            <w:r>
              <w:rPr>
                <w:szCs w:val="20"/>
                <w:lang w:eastAsia="ja-JP"/>
              </w:rPr>
              <w:t xml:space="preserve">FFS: Applicability of additional SCS to particular signals and channels </w:t>
            </w:r>
          </w:p>
          <w:p>
            <w:pPr>
              <w:pStyle w:val="Normal"/>
              <w:spacing w:lineRule="auto" w:line="240" w:before="0" w:after="0"/>
              <w:ind w:left="360" w:hanging="0"/>
              <w:rPr>
                <w:szCs w:val="20"/>
                <w:lang w:eastAsia="ja-JP"/>
              </w:rPr>
            </w:pPr>
            <w:r>
              <w:rPr>
                <w:szCs w:val="20"/>
                <w:lang w:eastAsia="ja-JP"/>
              </w:rPr>
            </w:r>
          </w:p>
        </w:tc>
      </w:tr>
    </w:tbl>
    <w:p>
      <w:pPr>
        <w:pStyle w:val="Normal"/>
        <w:jc w:val="both"/>
        <w:rPr>
          <w:iCs/>
        </w:rPr>
      </w:pPr>
      <w:r>
        <w:rPr>
          <w:iCs/>
        </w:rPr>
      </w:r>
    </w:p>
    <w:p>
      <w:pPr>
        <w:pStyle w:val="Normal"/>
        <w:jc w:val="both"/>
        <w:rPr>
          <w:iCs/>
        </w:rPr>
      </w:pPr>
      <w:r>
        <w:rPr>
          <w:iCs/>
        </w:rPr>
      </w:r>
    </w:p>
    <w:tbl>
      <w:tblPr>
        <w:tblStyle w:val="TableGrid"/>
        <w:tblW w:w="9852" w:type="dxa"/>
        <w:jc w:val="left"/>
        <w:tblInd w:w="0" w:type="dxa"/>
        <w:tblCellMar>
          <w:top w:w="0" w:type="dxa"/>
          <w:left w:w="108" w:type="dxa"/>
          <w:bottom w:w="0" w:type="dxa"/>
          <w:right w:w="108" w:type="dxa"/>
        </w:tblCellMar>
        <w:tblLook w:val="04a0" w:noVBand="1" w:noHBand="0" w:lastColumn="0" w:firstColumn="1" w:lastRow="0" w:firstRow="1"/>
      </w:tblPr>
      <w:tblGrid>
        <w:gridCol w:w="9852"/>
      </w:tblGrid>
      <w:tr>
        <w:trPr/>
        <w:tc>
          <w:tcPr>
            <w:tcW w:w="9852" w:type="dxa"/>
            <w:tcBorders/>
            <w:shd w:fill="auto" w:val="clear"/>
            <w:tcMar>
              <w:left w:w="108" w:type="dxa"/>
            </w:tcMar>
          </w:tcPr>
          <w:p>
            <w:pPr>
              <w:pStyle w:val="Normal"/>
              <w:spacing w:before="0" w:after="0"/>
              <w:jc w:val="both"/>
              <w:rPr>
                <w:iCs/>
              </w:rPr>
            </w:pPr>
            <w:r>
              <w:rPr>
                <w:iCs/>
                <w:szCs w:val="20"/>
                <w:lang w:eastAsia="ja-JP"/>
              </w:rPr>
              <w:t>In RAN1#104-e meeting, agreements were reached and conclusions were made as follows [3],</w:t>
            </w:r>
          </w:p>
          <w:p>
            <w:pPr>
              <w:pStyle w:val="Normal"/>
              <w:spacing w:before="0" w:after="0"/>
              <w:jc w:val="both"/>
              <w:rPr>
                <w:iCs/>
                <w:szCs w:val="20"/>
                <w:lang w:eastAsia="ja-JP"/>
              </w:rPr>
            </w:pPr>
            <w:r>
              <w:rPr>
                <w:iCs/>
                <w:szCs w:val="20"/>
                <w:lang w:eastAsia="ja-JP"/>
              </w:rPr>
            </w:r>
          </w:p>
          <w:p>
            <w:pPr>
              <w:pStyle w:val="Normal"/>
              <w:spacing w:before="0" w:after="0"/>
              <w:jc w:val="both"/>
              <w:rPr>
                <w:iCs/>
              </w:rPr>
            </w:pPr>
            <w:r>
              <w:rPr>
                <w:iCs/>
                <w:szCs w:val="20"/>
                <w:highlight w:val="green"/>
                <w:lang w:eastAsia="ja-JP"/>
              </w:rPr>
              <w:t>Agreement:</w:t>
            </w:r>
          </w:p>
          <w:p>
            <w:pPr>
              <w:pStyle w:val="Normal"/>
              <w:spacing w:before="0" w:after="0"/>
              <w:rPr>
                <w:rFonts w:eastAsia="Batang"/>
                <w:szCs w:val="20"/>
                <w:lang w:eastAsia="ja-JP"/>
              </w:rPr>
            </w:pPr>
            <w:r>
              <w:rPr>
                <w:rFonts w:eastAsia="Batang"/>
                <w:szCs w:val="20"/>
                <w:lang w:eastAsia="ja-JP"/>
              </w:rPr>
            </w:r>
          </w:p>
          <w:p>
            <w:pPr>
              <w:pStyle w:val="Normal"/>
              <w:numPr>
                <w:ilvl w:val="0"/>
                <w:numId w:val="3"/>
              </w:numPr>
              <w:spacing w:before="0" w:after="0"/>
              <w:rPr>
                <w:szCs w:val="20"/>
                <w:lang w:eastAsia="ja-JP"/>
              </w:rPr>
            </w:pPr>
            <w:r>
              <w:rPr>
                <w:szCs w:val="20"/>
                <w:lang w:eastAsia="ja-JP"/>
              </w:rPr>
              <w:t>In the row for PTRS configuration, change the text to “Companies are asked to report details of PN compensation method(s) with corresponding receiver complexity and details of PTRS enhancement (including any modifications to sequences) for CP-OFDM if evaluated. For example, for block-based PTRS enhancement, the number of PTRS blocks per OFDM symbol, the number of PTRS REs per block, and the placement of PTRS blocks in each OFDM symbol are required to be provided if evaluated”</w:t>
            </w:r>
          </w:p>
          <w:p>
            <w:pPr>
              <w:pStyle w:val="Normal"/>
              <w:spacing w:before="0" w:after="0"/>
              <w:jc w:val="both"/>
              <w:rPr>
                <w:iCs/>
                <w:szCs w:val="20"/>
                <w:lang w:eastAsia="ja-JP"/>
              </w:rPr>
            </w:pPr>
            <w:r>
              <w:rPr>
                <w:iCs/>
                <w:szCs w:val="20"/>
                <w:lang w:eastAsia="ja-JP"/>
              </w:rPr>
            </w:r>
          </w:p>
          <w:p>
            <w:pPr>
              <w:pStyle w:val="Normal"/>
              <w:spacing w:before="0" w:after="0"/>
              <w:rPr>
                <w:rFonts w:eastAsia="Batang"/>
              </w:rPr>
            </w:pPr>
            <w:r>
              <w:rPr>
                <w:szCs w:val="20"/>
                <w:highlight w:val="green"/>
                <w:lang w:eastAsia="ja-JP"/>
              </w:rPr>
              <w:t>Agreement:</w:t>
            </w:r>
          </w:p>
          <w:p>
            <w:pPr>
              <w:pStyle w:val="ListParagraph"/>
              <w:numPr>
                <w:ilvl w:val="0"/>
                <w:numId w:val="4"/>
              </w:numPr>
              <w:spacing w:lineRule="auto" w:line="252" w:before="0" w:after="0"/>
              <w:rPr>
                <w:szCs w:val="20"/>
                <w:lang w:eastAsia="ja-JP"/>
              </w:rPr>
            </w:pPr>
            <w:r>
              <w:rPr>
                <w:szCs w:val="20"/>
                <w:lang w:eastAsia="ja-JP"/>
              </w:rPr>
              <w:t>At least existing PTRS design for CP-OFDM is supported for NR operation in 52.6 to 71 GHz.</w:t>
            </w:r>
          </w:p>
          <w:p>
            <w:pPr>
              <w:pStyle w:val="TextBody"/>
              <w:numPr>
                <w:ilvl w:val="0"/>
                <w:numId w:val="4"/>
              </w:numPr>
              <w:overflowPunct w:val="true"/>
              <w:spacing w:lineRule="auto" w:line="252" w:before="0" w:after="0"/>
              <w:jc w:val="both"/>
              <w:rPr>
                <w:szCs w:val="20"/>
                <w:lang w:eastAsia="ja-JP"/>
              </w:rPr>
            </w:pPr>
            <w:r>
              <w:rPr>
                <w:szCs w:val="20"/>
                <w:lang w:eastAsia="ja-JP"/>
              </w:rPr>
              <w:t>Companies are encouraged to study the need of potential PTRS enhancement for CP-OFDM with respect to phase noise compensation performance considering at least the following aspects:</w:t>
            </w:r>
          </w:p>
          <w:p>
            <w:pPr>
              <w:pStyle w:val="TextBody"/>
              <w:numPr>
                <w:ilvl w:val="1"/>
                <w:numId w:val="4"/>
              </w:numPr>
              <w:overflowPunct w:val="true"/>
              <w:spacing w:lineRule="auto" w:line="252" w:before="0" w:after="0"/>
              <w:jc w:val="both"/>
              <w:rPr>
                <w:szCs w:val="20"/>
                <w:lang w:eastAsia="ja-JP"/>
              </w:rPr>
            </w:pPr>
            <w:r>
              <w:rPr>
                <w:szCs w:val="20"/>
                <w:lang w:eastAsia="ja-JP"/>
              </w:rPr>
              <w:t>PTRS density/pattern (e.g. distributed, block-based) and sequence (e.g. cyclic sequence)</w:t>
            </w:r>
          </w:p>
          <w:p>
            <w:pPr>
              <w:pStyle w:val="TextBody"/>
              <w:numPr>
                <w:ilvl w:val="1"/>
                <w:numId w:val="4"/>
              </w:numPr>
              <w:overflowPunct w:val="true"/>
              <w:spacing w:lineRule="auto" w:line="252" w:before="0" w:after="0"/>
              <w:jc w:val="both"/>
              <w:rPr>
                <w:szCs w:val="20"/>
                <w:lang w:eastAsia="ja-JP"/>
              </w:rPr>
            </w:pPr>
            <w:r>
              <w:rPr>
                <w:szCs w:val="20"/>
                <w:lang w:eastAsia="ja-JP"/>
              </w:rPr>
              <w:t>Frequency domain power boosting and its impact to PDSCH performance and PDSCH to DMRS EPRE</w:t>
            </w:r>
          </w:p>
          <w:p>
            <w:pPr>
              <w:pStyle w:val="TextBody"/>
              <w:numPr>
                <w:ilvl w:val="1"/>
                <w:numId w:val="4"/>
              </w:numPr>
              <w:overflowPunct w:val="true"/>
              <w:spacing w:lineRule="auto" w:line="252" w:before="0" w:after="0"/>
              <w:jc w:val="both"/>
              <w:rPr>
                <w:szCs w:val="20"/>
                <w:lang w:eastAsia="ja-JP"/>
              </w:rPr>
            </w:pPr>
            <w:r>
              <w:rPr>
                <w:szCs w:val="20"/>
                <w:lang w:eastAsia="ja-JP"/>
              </w:rPr>
              <w:t>Receiver complexity, including possible aspects related to supporting both existing PTRS design and potential PTRS enhancement</w:t>
            </w:r>
          </w:p>
          <w:p>
            <w:pPr>
              <w:pStyle w:val="TextBody"/>
              <w:numPr>
                <w:ilvl w:val="1"/>
                <w:numId w:val="4"/>
              </w:numPr>
              <w:overflowPunct w:val="true"/>
              <w:spacing w:lineRule="auto" w:line="252" w:before="0" w:after="0"/>
              <w:jc w:val="both"/>
              <w:rPr>
                <w:szCs w:val="20"/>
                <w:lang w:eastAsia="ja-JP"/>
              </w:rPr>
            </w:pPr>
            <w:r>
              <w:rPr>
                <w:szCs w:val="20"/>
                <w:lang w:eastAsia="ja-JP"/>
              </w:rPr>
              <w:t>Possible specification impact of supporting potential PTRS enhancement in addition to existing PTRS design</w:t>
            </w:r>
          </w:p>
          <w:p>
            <w:pPr>
              <w:pStyle w:val="TextBody"/>
              <w:numPr>
                <w:ilvl w:val="1"/>
                <w:numId w:val="4"/>
              </w:numPr>
              <w:overflowPunct w:val="true"/>
              <w:spacing w:lineRule="auto" w:line="252" w:before="0" w:after="0"/>
              <w:jc w:val="both"/>
              <w:rPr>
                <w:szCs w:val="20"/>
                <w:lang w:eastAsia="ja-JP"/>
              </w:rPr>
            </w:pPr>
            <w:r>
              <w:rPr>
                <w:szCs w:val="20"/>
                <w:lang w:eastAsia="ja-JP"/>
              </w:rPr>
              <w:t>Note: PTRS overhead should be accounted for in the evaluations, e.g. by showing spectral efficiency results and/or reporting effective coding rate</w:t>
            </w:r>
          </w:p>
          <w:p>
            <w:pPr>
              <w:pStyle w:val="ListParagraph"/>
              <w:numPr>
                <w:ilvl w:val="0"/>
                <w:numId w:val="4"/>
              </w:numPr>
              <w:spacing w:lineRule="auto" w:line="252" w:before="0" w:after="0"/>
              <w:rPr>
                <w:szCs w:val="20"/>
                <w:lang w:eastAsia="ja-JP"/>
              </w:rPr>
            </w:pPr>
            <w:r>
              <w:rPr>
                <w:szCs w:val="20"/>
                <w:lang w:eastAsia="ja-JP"/>
              </w:rPr>
              <w:t>Note: The decision to support potential enhanced PTRS design in addition to existing PTRS design will be made based on performance benefit, receiver complexity and specification effort aspects of enhanced PTRS design together and not purely on the considerations of the specification effort caused by supporting potential enhanced PTRS design in addition to existing PTRS design.</w:t>
            </w:r>
          </w:p>
          <w:p>
            <w:pPr>
              <w:pStyle w:val="Normal"/>
              <w:spacing w:before="0" w:after="0"/>
              <w:jc w:val="both"/>
              <w:rPr>
                <w:iCs/>
                <w:szCs w:val="20"/>
                <w:lang w:eastAsia="ja-JP"/>
              </w:rPr>
            </w:pPr>
            <w:r>
              <w:rPr>
                <w:iCs/>
                <w:szCs w:val="20"/>
                <w:lang w:eastAsia="ja-JP"/>
              </w:rPr>
            </w:r>
          </w:p>
          <w:p>
            <w:pPr>
              <w:pStyle w:val="Normal"/>
              <w:spacing w:before="0" w:after="0"/>
              <w:rPr>
                <w:rFonts w:eastAsia="Batang"/>
              </w:rPr>
            </w:pPr>
            <w:r>
              <w:rPr>
                <w:szCs w:val="20"/>
                <w:highlight w:val="green"/>
                <w:lang w:eastAsia="ja-JP"/>
              </w:rPr>
              <w:t>Agreement:</w:t>
            </w:r>
          </w:p>
          <w:p>
            <w:pPr>
              <w:pStyle w:val="ListParagraph"/>
              <w:numPr>
                <w:ilvl w:val="0"/>
                <w:numId w:val="4"/>
              </w:numPr>
              <w:spacing w:lineRule="auto" w:line="252" w:before="0" w:after="0"/>
              <w:rPr>
                <w:szCs w:val="20"/>
                <w:lang w:eastAsia="ja-JP"/>
              </w:rPr>
            </w:pPr>
            <w:r>
              <w:rPr>
                <w:szCs w:val="20"/>
                <w:lang w:eastAsia="ja-JP"/>
              </w:rPr>
              <w:t>Existing DMRS patterns are supported for NR operation in 52.6 to 71 GHz with 120 kHz SCS.</w:t>
            </w:r>
          </w:p>
          <w:p>
            <w:pPr>
              <w:pStyle w:val="ListParagraph"/>
              <w:numPr>
                <w:ilvl w:val="0"/>
                <w:numId w:val="4"/>
              </w:numPr>
              <w:spacing w:lineRule="auto" w:line="252" w:before="0" w:after="0"/>
              <w:rPr>
                <w:szCs w:val="20"/>
                <w:lang w:eastAsia="ja-JP"/>
              </w:rPr>
            </w:pPr>
            <w:r>
              <w:rPr>
                <w:szCs w:val="20"/>
                <w:lang w:eastAsia="ja-JP"/>
              </w:rPr>
              <w:t>At least existing DMRS patterns are supported for NR operation in 52.6 to 71 GHz with 480 kHz and/or 960 kHz SCS</w:t>
            </w:r>
          </w:p>
          <w:p>
            <w:pPr>
              <w:pStyle w:val="ListParagraph"/>
              <w:numPr>
                <w:ilvl w:val="0"/>
                <w:numId w:val="4"/>
              </w:numPr>
              <w:spacing w:lineRule="auto" w:line="252" w:before="0" w:after="0"/>
              <w:rPr>
                <w:szCs w:val="20"/>
                <w:lang w:eastAsia="ja-JP"/>
              </w:rPr>
            </w:pPr>
            <w:r>
              <w:rPr>
                <w:szCs w:val="20"/>
                <w:lang w:eastAsia="ja-JP"/>
              </w:rPr>
              <w:t>Further study on whether to introduce different DMRS pattern with increased frequency domain density (in number of subcarriers) than the existing DMRS patterns for NR operation in 52.6 to 71 GHz with 480 kHz and/or 960 kHz SCS</w:t>
            </w:r>
          </w:p>
          <w:p>
            <w:pPr>
              <w:pStyle w:val="Normal"/>
              <w:spacing w:before="0" w:after="0"/>
              <w:jc w:val="both"/>
              <w:rPr>
                <w:iCs/>
                <w:szCs w:val="20"/>
                <w:lang w:eastAsia="ja-JP"/>
              </w:rPr>
            </w:pPr>
            <w:r>
              <w:rPr>
                <w:iCs/>
                <w:szCs w:val="20"/>
                <w:lang w:eastAsia="ja-JP"/>
              </w:rPr>
            </w:r>
          </w:p>
          <w:p>
            <w:pPr>
              <w:pStyle w:val="Normal"/>
              <w:spacing w:before="0" w:after="0"/>
              <w:rPr>
                <w:rFonts w:eastAsia="Batang"/>
              </w:rPr>
            </w:pPr>
            <w:r>
              <w:rPr>
                <w:szCs w:val="20"/>
                <w:highlight w:val="green"/>
                <w:lang w:eastAsia="ja-JP"/>
              </w:rPr>
              <w:t>Agreement:</w:t>
            </w:r>
          </w:p>
          <w:p>
            <w:pPr>
              <w:pStyle w:val="Normal"/>
              <w:numPr>
                <w:ilvl w:val="0"/>
                <w:numId w:val="5"/>
              </w:numPr>
              <w:spacing w:before="0" w:after="0"/>
              <w:rPr>
                <w:szCs w:val="20"/>
                <w:lang w:eastAsia="ja-JP"/>
              </w:rPr>
            </w:pPr>
            <w:r>
              <w:rPr>
                <w:szCs w:val="20"/>
                <w:lang w:eastAsia="ja-JP"/>
              </w:rPr>
              <w:t>For a UE and for a serving cell, scheduling multiple PDSCHs by single DL DCI and scheduling multiple PUSCHs by single UL DCI are supported.</w:t>
            </w:r>
          </w:p>
          <w:p>
            <w:pPr>
              <w:pStyle w:val="Normal"/>
              <w:numPr>
                <w:ilvl w:val="1"/>
                <w:numId w:val="5"/>
              </w:numPr>
              <w:spacing w:before="0" w:after="0"/>
              <w:rPr>
                <w:szCs w:val="20"/>
                <w:lang w:eastAsia="ja-JP"/>
              </w:rPr>
            </w:pPr>
            <w:r>
              <w:rPr>
                <w:szCs w:val="20"/>
                <w:lang w:eastAsia="ja-JP"/>
              </w:rPr>
              <w:t>Each PDSCH or PUSCH has individual/separate TB(s) and each PDSCH/PUSCH is confined within a slot.</w:t>
            </w:r>
          </w:p>
          <w:p>
            <w:pPr>
              <w:pStyle w:val="Normal"/>
              <w:numPr>
                <w:ilvl w:val="1"/>
                <w:numId w:val="5"/>
              </w:numPr>
              <w:spacing w:before="0" w:after="0"/>
              <w:rPr>
                <w:szCs w:val="20"/>
                <w:lang w:eastAsia="ja-JP"/>
              </w:rPr>
            </w:pPr>
            <w:r>
              <w:rPr>
                <w:szCs w:val="20"/>
                <w:lang w:eastAsia="ja-JP"/>
              </w:rPr>
              <w:t>FFS: The maximum number of PDSCHs or PUSCHs that can be scheduled with a single DCI</w:t>
            </w:r>
          </w:p>
          <w:p>
            <w:pPr>
              <w:pStyle w:val="Normal"/>
              <w:numPr>
                <w:ilvl w:val="1"/>
                <w:numId w:val="5"/>
              </w:numPr>
              <w:spacing w:before="0" w:after="0"/>
              <w:rPr>
                <w:szCs w:val="20"/>
                <w:lang w:eastAsia="ja-JP"/>
              </w:rPr>
            </w:pPr>
            <w:r>
              <w:rPr>
                <w:szCs w:val="20"/>
                <w:lang w:eastAsia="ja-JP"/>
              </w:rPr>
              <w:t>FFS: Whether multiple PDSCH scheduling applies to 120 kHz in addition to 480 and 960 kHz</w:t>
            </w:r>
          </w:p>
          <w:p>
            <w:pPr>
              <w:pStyle w:val="Normal"/>
              <w:numPr>
                <w:ilvl w:val="1"/>
                <w:numId w:val="5"/>
              </w:numPr>
              <w:spacing w:before="0" w:after="0"/>
              <w:rPr>
                <w:szCs w:val="20"/>
                <w:lang w:eastAsia="ja-JP"/>
              </w:rPr>
            </w:pPr>
            <w:r>
              <w:rPr>
                <w:szCs w:val="20"/>
                <w:lang w:eastAsia="ja-JP"/>
              </w:rPr>
              <w:t>At least for 120 kHz SCS, single-slot scheduling with slot-based monitoring will still be supported as specified in Rel-15/Rel-16</w:t>
            </w:r>
          </w:p>
          <w:p>
            <w:pPr>
              <w:pStyle w:val="Normal"/>
              <w:numPr>
                <w:ilvl w:val="0"/>
                <w:numId w:val="5"/>
              </w:numPr>
              <w:spacing w:before="0" w:after="0"/>
              <w:rPr>
                <w:szCs w:val="20"/>
                <w:lang w:eastAsia="ja-JP"/>
              </w:rPr>
            </w:pPr>
            <w:r>
              <w:rPr>
                <w:szCs w:val="20"/>
                <w:lang w:eastAsia="ja-JP"/>
              </w:rPr>
              <w:t>The followings will not be considered in this WI.</w:t>
            </w:r>
          </w:p>
          <w:p>
            <w:pPr>
              <w:pStyle w:val="Normal"/>
              <w:numPr>
                <w:ilvl w:val="1"/>
                <w:numId w:val="5"/>
              </w:numPr>
              <w:spacing w:before="0" w:after="0"/>
              <w:rPr>
                <w:szCs w:val="20"/>
                <w:lang w:eastAsia="ja-JP"/>
              </w:rPr>
            </w:pPr>
            <w:r>
              <w:rPr>
                <w:szCs w:val="20"/>
                <w:lang w:eastAsia="ja-JP"/>
              </w:rPr>
              <w:t>Single DCI to schedule both PDSCH(s) and PUSCH(s)</w:t>
            </w:r>
          </w:p>
          <w:p>
            <w:pPr>
              <w:pStyle w:val="Normal"/>
              <w:numPr>
                <w:ilvl w:val="1"/>
                <w:numId w:val="5"/>
              </w:numPr>
              <w:spacing w:before="0" w:after="0"/>
              <w:rPr>
                <w:szCs w:val="20"/>
                <w:lang w:eastAsia="ja-JP"/>
              </w:rPr>
            </w:pPr>
            <w:r>
              <w:rPr>
                <w:szCs w:val="20"/>
                <w:lang w:eastAsia="ja-JP"/>
              </w:rPr>
              <w:t>Single DCI to schedule one or multiple TBs where any single TB can be mapped over multiple slots, where mapping is not by repetition</w:t>
            </w:r>
          </w:p>
          <w:p>
            <w:pPr>
              <w:pStyle w:val="Normal"/>
              <w:numPr>
                <w:ilvl w:val="1"/>
                <w:numId w:val="5"/>
              </w:numPr>
              <w:spacing w:before="0" w:after="0"/>
              <w:rPr>
                <w:szCs w:val="20"/>
                <w:lang w:eastAsia="ja-JP"/>
              </w:rPr>
            </w:pPr>
            <w:r>
              <w:rPr>
                <w:szCs w:val="20"/>
                <w:lang w:eastAsia="ja-JP"/>
              </w:rPr>
              <w:t>Single DCI to schedule N TBs (N&gt;1) where a TB can be repeated over multiple slots (or mini-slots)</w:t>
            </w:r>
          </w:p>
          <w:p>
            <w:pPr>
              <w:pStyle w:val="Normal"/>
              <w:numPr>
                <w:ilvl w:val="0"/>
                <w:numId w:val="5"/>
              </w:numPr>
              <w:spacing w:before="0" w:after="0"/>
              <w:rPr>
                <w:szCs w:val="20"/>
                <w:lang w:eastAsia="ja-JP"/>
              </w:rPr>
            </w:pPr>
            <w:r>
              <w:rPr>
                <w:szCs w:val="20"/>
                <w:lang w:eastAsia="ja-JP"/>
              </w:rPr>
              <w:t>Note: This does not imply that existing slot aggregation and/or repetition for PDSCH and PUSCH by single DCI is precluded for the serving cell.</w:t>
            </w:r>
          </w:p>
          <w:p>
            <w:pPr>
              <w:pStyle w:val="Normal"/>
              <w:spacing w:before="0" w:after="0"/>
              <w:jc w:val="both"/>
              <w:rPr>
                <w:iCs/>
                <w:szCs w:val="20"/>
                <w:lang w:eastAsia="ja-JP"/>
              </w:rPr>
            </w:pPr>
            <w:r>
              <w:rPr>
                <w:iCs/>
                <w:szCs w:val="20"/>
                <w:lang w:eastAsia="ja-JP"/>
              </w:rPr>
            </w:r>
          </w:p>
          <w:p>
            <w:pPr>
              <w:pStyle w:val="Normal"/>
              <w:spacing w:before="0" w:after="0"/>
              <w:rPr>
                <w:rFonts w:eastAsia="Batang"/>
              </w:rPr>
            </w:pPr>
            <w:r>
              <w:rPr>
                <w:szCs w:val="20"/>
                <w:highlight w:val="green"/>
                <w:lang w:eastAsia="ja-JP"/>
              </w:rPr>
              <w:t>Agreement:</w:t>
            </w:r>
          </w:p>
          <w:p>
            <w:pPr>
              <w:pStyle w:val="Normal"/>
              <w:numPr>
                <w:ilvl w:val="0"/>
                <w:numId w:val="5"/>
              </w:numPr>
              <w:spacing w:before="0" w:after="0"/>
              <w:rPr>
                <w:szCs w:val="20"/>
                <w:lang w:eastAsia="ja-JP"/>
              </w:rPr>
            </w:pPr>
            <w:r>
              <w:rPr>
                <w:szCs w:val="20"/>
                <w:lang w:eastAsia="ja-JP"/>
              </w:rPr>
              <w:t>For a DCI scheduling multiple PDSCHs, HARQ-ACK information corresponding to PDSCHs scheduled by the DCI is multiplexed with a single PUCCH in a slot that is determined based on K1,</w:t>
            </w:r>
          </w:p>
          <w:p>
            <w:pPr>
              <w:pStyle w:val="Normal"/>
              <w:numPr>
                <w:ilvl w:val="1"/>
                <w:numId w:val="5"/>
              </w:numPr>
              <w:spacing w:before="0" w:after="0"/>
              <w:rPr>
                <w:szCs w:val="20"/>
                <w:lang w:eastAsia="ja-JP"/>
              </w:rPr>
            </w:pPr>
            <w:r>
              <w:rPr>
                <w:szCs w:val="20"/>
                <w:lang w:eastAsia="ja-JP"/>
              </w:rPr>
              <w:t xml:space="preserve">where K1 (indicated by the PDSCH-to-HARQ_feedback timing indicator field in the DCI or provided by </w:t>
            </w:r>
            <w:r>
              <w:rPr>
                <w:i/>
                <w:iCs/>
                <w:szCs w:val="20"/>
                <w:lang w:eastAsia="ja-JP"/>
              </w:rPr>
              <w:t xml:space="preserve">dl-DataToUL-ACK </w:t>
            </w:r>
            <w:r>
              <w:rPr>
                <w:szCs w:val="20"/>
                <w:lang w:eastAsia="ja-JP"/>
              </w:rPr>
              <w:t>if the PDSCH-to-HARQ_feedback timing indicator field is not present in the DCI) indicates the slot offset between the slot of the last PDSCH scheduled by the DCI and the slot carrying the HARQ-ACK information corresponding to the scheduled PDSCHs.</w:t>
            </w:r>
          </w:p>
          <w:p>
            <w:pPr>
              <w:pStyle w:val="Normal"/>
              <w:numPr>
                <w:ilvl w:val="2"/>
                <w:numId w:val="5"/>
              </w:numPr>
              <w:spacing w:before="0" w:after="0"/>
              <w:rPr>
                <w:szCs w:val="20"/>
                <w:lang w:eastAsia="ja-JP"/>
              </w:rPr>
            </w:pPr>
            <w:r>
              <w:rPr>
                <w:szCs w:val="20"/>
                <w:lang w:eastAsia="ja-JP"/>
              </w:rPr>
              <w:t>It is noted that granularity of K1 can be separately discussed.</w:t>
            </w:r>
          </w:p>
          <w:p>
            <w:pPr>
              <w:pStyle w:val="Normal"/>
              <w:numPr>
                <w:ilvl w:val="0"/>
                <w:numId w:val="5"/>
              </w:numPr>
              <w:spacing w:before="0" w:after="0"/>
              <w:rPr>
                <w:szCs w:val="20"/>
                <w:lang w:eastAsia="ja-JP"/>
              </w:rPr>
            </w:pPr>
            <w:r>
              <w:rPr>
                <w:szCs w:val="20"/>
                <w:lang w:eastAsia="ja-JP"/>
              </w:rPr>
              <w:t>FFS: If needed, further discuss whether or not HARQ-ACK information corresponding to different PDSCHs scheduled by the DCI can be carried by different PUCCH(s)</w:t>
            </w:r>
          </w:p>
          <w:p>
            <w:pPr>
              <w:pStyle w:val="Normal"/>
              <w:spacing w:before="0" w:after="0"/>
              <w:jc w:val="both"/>
              <w:rPr>
                <w:iCs/>
                <w:szCs w:val="20"/>
                <w:lang w:eastAsia="ja-JP"/>
              </w:rPr>
            </w:pPr>
            <w:r>
              <w:rPr>
                <w:iCs/>
                <w:szCs w:val="20"/>
                <w:lang w:eastAsia="ja-JP"/>
              </w:rPr>
            </w:r>
          </w:p>
          <w:p>
            <w:pPr>
              <w:pStyle w:val="Normal"/>
              <w:spacing w:before="0" w:after="0"/>
              <w:jc w:val="both"/>
              <w:rPr>
                <w:iCs/>
                <w:szCs w:val="20"/>
                <w:lang w:eastAsia="ja-JP"/>
              </w:rPr>
            </w:pPr>
            <w:r>
              <w:rPr>
                <w:iCs/>
                <w:szCs w:val="20"/>
                <w:lang w:eastAsia="ja-JP"/>
              </w:rPr>
            </w:r>
          </w:p>
          <w:p>
            <w:pPr>
              <w:pStyle w:val="Normal"/>
              <w:spacing w:before="0" w:after="0"/>
              <w:rPr>
                <w:rFonts w:eastAsia="Batang"/>
              </w:rPr>
            </w:pPr>
            <w:r>
              <w:rPr>
                <w:szCs w:val="20"/>
                <w:highlight w:val="green"/>
                <w:lang w:eastAsia="ja-JP"/>
              </w:rPr>
              <w:t>Agreement:</w:t>
            </w:r>
          </w:p>
          <w:p>
            <w:pPr>
              <w:pStyle w:val="Normal"/>
              <w:spacing w:before="0" w:after="0"/>
              <w:rPr>
                <w:szCs w:val="20"/>
                <w:lang w:eastAsia="ja-JP"/>
              </w:rPr>
            </w:pPr>
            <w:r>
              <w:rPr>
                <w:szCs w:val="20"/>
                <w:lang w:eastAsia="ja-JP"/>
              </w:rPr>
              <w:t>The multi-PUSCH scheduling defined in Rel-16 NR-U is the baseline for multi-PUSCH scheduling in Rel-17.</w:t>
            </w:r>
          </w:p>
          <w:p>
            <w:pPr>
              <w:pStyle w:val="Normal"/>
              <w:numPr>
                <w:ilvl w:val="0"/>
                <w:numId w:val="5"/>
              </w:numPr>
              <w:spacing w:before="0" w:after="0"/>
              <w:rPr>
                <w:szCs w:val="20"/>
                <w:lang w:eastAsia="ja-JP"/>
              </w:rPr>
            </w:pPr>
            <w:r>
              <w:rPr>
                <w:szCs w:val="20"/>
                <w:lang w:eastAsia="ja-JP"/>
              </w:rPr>
              <w:t xml:space="preserve">FFS: Applicability to multi-PDSCH scheduling. </w:t>
            </w:r>
          </w:p>
          <w:p>
            <w:pPr>
              <w:pStyle w:val="Normal"/>
              <w:spacing w:before="0" w:after="0"/>
              <w:jc w:val="both"/>
              <w:rPr>
                <w:iCs/>
                <w:szCs w:val="20"/>
                <w:lang w:eastAsia="ja-JP"/>
              </w:rPr>
            </w:pPr>
            <w:r>
              <w:rPr>
                <w:iCs/>
                <w:szCs w:val="20"/>
                <w:lang w:eastAsia="ja-JP"/>
              </w:rPr>
            </w:r>
          </w:p>
        </w:tc>
      </w:tr>
    </w:tbl>
    <w:p>
      <w:pPr>
        <w:pStyle w:val="Normal"/>
        <w:jc w:val="both"/>
        <w:rPr>
          <w:iCs/>
        </w:rPr>
      </w:pPr>
      <w:r>
        <w:rPr>
          <w:iCs/>
        </w:rPr>
      </w:r>
    </w:p>
    <w:p>
      <w:pPr>
        <w:pStyle w:val="Normal"/>
        <w:jc w:val="both"/>
        <w:rPr>
          <w:iCs/>
        </w:rPr>
      </w:pPr>
      <w:r>
        <w:rPr>
          <w:iCs/>
        </w:rPr>
      </w:r>
    </w:p>
    <w:p>
      <w:pPr>
        <w:pStyle w:val="Normal"/>
        <w:jc w:val="both"/>
        <w:rPr>
          <w:iCs/>
        </w:rPr>
      </w:pPr>
      <w:r>
        <w:rPr>
          <w:iCs/>
        </w:rPr>
        <w:t>In this contribution, we provide our views on the PDSCH/PUSCH related enhancements required for NR beyond 52.6GHz mainly focusing on the scheduling w.r.t multi-PDSCH/PUSCH with single DCI, HARQ and enhancements for PTRS and DMRS.</w:t>
      </w:r>
    </w:p>
    <w:p>
      <w:pPr>
        <w:pStyle w:val="Normal"/>
        <w:jc w:val="both"/>
        <w:rPr>
          <w:iCs/>
        </w:rPr>
      </w:pPr>
      <w:r>
        <w:rPr>
          <w:iCs/>
        </w:rPr>
      </w:r>
    </w:p>
    <w:p>
      <w:pPr>
        <w:pStyle w:val="Normal"/>
        <w:keepNext/>
        <w:keepLines/>
        <w:numPr>
          <w:ilvl w:val="0"/>
          <w:numId w:val="0"/>
        </w:numPr>
        <w:pBdr>
          <w:top w:val="single" w:sz="12" w:space="3" w:color="00000A"/>
        </w:pBdr>
        <w:tabs>
          <w:tab w:val="left" w:pos="426" w:leader="none"/>
          <w:tab w:val="left" w:pos="4969" w:leader="none"/>
        </w:tabs>
        <w:ind w:left="426" w:hanging="426"/>
        <w:jc w:val="both"/>
        <w:outlineLvl w:val="0"/>
        <w:rPr>
          <w:rFonts w:ascii="Arial" w:hAnsi="Arial" w:eastAsia="MS Mincho"/>
          <w:sz w:val="36"/>
          <w:szCs w:val="36"/>
          <w:lang w:eastAsia="ja-JP"/>
        </w:rPr>
      </w:pPr>
      <w:r>
        <w:rPr>
          <w:rFonts w:eastAsia="MS Mincho" w:ascii="Arial" w:hAnsi="Arial"/>
          <w:sz w:val="36"/>
          <w:szCs w:val="36"/>
          <w:lang w:eastAsia="ja-JP"/>
        </w:rPr>
      </w:r>
    </w:p>
    <w:p>
      <w:pPr>
        <w:pStyle w:val="Normal"/>
        <w:keepNext/>
        <w:keepLines/>
        <w:numPr>
          <w:ilvl w:val="0"/>
          <w:numId w:val="0"/>
        </w:numPr>
        <w:pBdr>
          <w:top w:val="single" w:sz="12" w:space="3" w:color="00000A"/>
        </w:pBdr>
        <w:tabs>
          <w:tab w:val="left" w:pos="426" w:leader="none"/>
          <w:tab w:val="left" w:pos="4969" w:leader="none"/>
        </w:tabs>
        <w:ind w:left="426" w:hanging="426"/>
        <w:jc w:val="both"/>
        <w:outlineLvl w:val="0"/>
        <w:rPr>
          <w:rFonts w:ascii="Arial" w:hAnsi="Arial" w:eastAsia="MS Mincho"/>
          <w:sz w:val="36"/>
          <w:szCs w:val="36"/>
          <w:lang w:eastAsia="ja-JP"/>
        </w:rPr>
      </w:pPr>
      <w:r>
        <w:rPr>
          <w:rFonts w:eastAsia="MS Mincho" w:ascii="Arial" w:hAnsi="Arial"/>
          <w:sz w:val="36"/>
          <w:szCs w:val="36"/>
          <w:lang w:eastAsia="ja-JP"/>
        </w:rPr>
        <w:t>2 Single DCI scheduling Multi-PDSCH/PUSCH</w:t>
      </w:r>
    </w:p>
    <w:p>
      <w:pPr>
        <w:pStyle w:val="Normal"/>
        <w:keepNext/>
        <w:keepLines/>
        <w:numPr>
          <w:ilvl w:val="0"/>
          <w:numId w:val="0"/>
        </w:numPr>
        <w:pBdr>
          <w:top w:val="single" w:sz="12" w:space="3" w:color="00000A"/>
        </w:pBdr>
        <w:tabs>
          <w:tab w:val="left" w:pos="426" w:leader="none"/>
          <w:tab w:val="left" w:pos="4969" w:leader="none"/>
        </w:tabs>
        <w:ind w:left="426" w:hanging="426"/>
        <w:jc w:val="both"/>
        <w:outlineLvl w:val="0"/>
        <w:rPr>
          <w:rFonts w:ascii="Arial" w:hAnsi="Arial" w:eastAsia="MS Mincho"/>
          <w:sz w:val="36"/>
          <w:szCs w:val="36"/>
          <w:lang w:eastAsia="ja-JP"/>
        </w:rPr>
      </w:pPr>
      <w:r>
        <w:rPr>
          <w:rFonts w:eastAsia="MS Mincho" w:ascii="Arial" w:hAnsi="Arial"/>
          <w:sz w:val="36"/>
          <w:szCs w:val="36"/>
          <w:lang w:eastAsia="ja-JP"/>
        </w:rPr>
      </w:r>
    </w:p>
    <w:p>
      <w:pPr>
        <w:pStyle w:val="Normal"/>
        <w:keepNext/>
        <w:keepLines/>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szCs w:val="36"/>
          <w:lang w:eastAsia="ja-JP"/>
        </w:rPr>
        <w:t>Scheduling multiple PDSCH/PUSCH using a single DCI is introduced in NR above 52.6GHz in order to reduce the number of PDCCH monitoring. Scheduling multiple PUSCHs using a single DCI is already standardized in Rel-16 NR under the topic NR-U. In Rel-16 NR, the time domain resource allocation (TDRA) table is configured such that a row in the TDRA table corresponds to a single K2 value and multiple SLIV’s. The K2 value indicates the slot in which the first PUSCH among the multiple-PUSCHs is present and the number of SLIV’s indicates the number of PUSCHs that are being scheduled by the DCI indicating that particular row in the TDRA table. The maximum number of PUSCHs that can be scheduled by a single DCI is 8 in Rel-16 NR. It’s been agreed in RAN1 #104e meeting that multi-PUSCH defined in Rel-16 NR-U will be the baseline for multi-PUSCH scheduling in Rel-17 and it’s applicability to multi-PDSCH scheduling is FFS.</w:t>
      </w:r>
    </w:p>
    <w:p>
      <w:pPr>
        <w:pStyle w:val="Normal"/>
        <w:keepNext/>
        <w:keepLines/>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szCs w:val="36"/>
          <w:lang w:eastAsia="ja-JP"/>
        </w:rPr>
        <w:t>With the support scheduling multi-PDSCH/PUSCH using single DCI, several questions will be raised along with it. Some among them are shown below:</w:t>
      </w:r>
    </w:p>
    <w:p>
      <w:pPr>
        <w:pStyle w:val="ListParagraph"/>
        <w:numPr>
          <w:ilvl w:val="0"/>
          <w:numId w:val="6"/>
        </w:numPr>
        <w:spacing w:before="120" w:after="0"/>
        <w:jc w:val="both"/>
        <w:rPr>
          <w:szCs w:val="36"/>
          <w:lang w:eastAsia="ja-JP"/>
        </w:rPr>
      </w:pPr>
      <w:r>
        <w:rPr>
          <w:szCs w:val="36"/>
          <w:lang w:eastAsia="ja-JP"/>
        </w:rPr>
        <w:t>Whether separate K0/K2 values will be applied per each PDSCH/PUSCH?</w:t>
      </w:r>
    </w:p>
    <w:p>
      <w:pPr>
        <w:pStyle w:val="ListParagraph"/>
        <w:numPr>
          <w:ilvl w:val="0"/>
          <w:numId w:val="6"/>
        </w:numPr>
        <w:spacing w:before="120" w:after="0"/>
        <w:jc w:val="both"/>
        <w:rPr>
          <w:szCs w:val="36"/>
          <w:lang w:eastAsia="ja-JP"/>
        </w:rPr>
      </w:pPr>
      <w:r>
        <w:rPr>
          <w:szCs w:val="36"/>
          <w:lang w:eastAsia="ja-JP"/>
        </w:rPr>
        <w:t>What are the maximum number of PDSCHs/PUSCHs can be scheduled per DCI?</w:t>
      </w:r>
    </w:p>
    <w:p>
      <w:pPr>
        <w:pStyle w:val="ListParagraph"/>
        <w:numPr>
          <w:ilvl w:val="0"/>
          <w:numId w:val="6"/>
        </w:numPr>
        <w:spacing w:before="120" w:after="0"/>
        <w:jc w:val="both"/>
        <w:rPr>
          <w:szCs w:val="36"/>
          <w:lang w:eastAsia="ja-JP"/>
        </w:rPr>
      </w:pPr>
      <w:r>
        <w:rPr>
          <w:szCs w:val="36"/>
          <w:lang w:eastAsia="ja-JP"/>
        </w:rPr>
        <w:t>How the HARQ codebook is formed?</w:t>
      </w:r>
    </w:p>
    <w:p>
      <w:pPr>
        <w:pStyle w:val="ListParagraph"/>
        <w:numPr>
          <w:ilvl w:val="0"/>
          <w:numId w:val="6"/>
        </w:numPr>
        <w:spacing w:before="120" w:after="0"/>
        <w:jc w:val="both"/>
        <w:rPr>
          <w:szCs w:val="36"/>
          <w:lang w:eastAsia="ja-JP"/>
        </w:rPr>
      </w:pPr>
      <w:r>
        <w:rPr>
          <w:szCs w:val="36"/>
          <w:lang w:eastAsia="ja-JP"/>
        </w:rPr>
        <w:t>Where HARQ will be transmitted?</w:t>
      </w:r>
    </w:p>
    <w:p>
      <w:pPr>
        <w:pStyle w:val="Normal"/>
        <w:spacing w:before="120" w:after="0"/>
        <w:jc w:val="both"/>
        <w:rPr>
          <w:szCs w:val="36"/>
          <w:lang w:eastAsia="ja-JP"/>
        </w:rPr>
      </w:pPr>
      <w:r>
        <w:rPr>
          <w:szCs w:val="36"/>
          <w:lang w:eastAsia="ja-JP"/>
        </w:rPr>
        <w:t xml:space="preserve">In Rel-16 NR, scheduling multi-PUSCH using single DCI was supported for NR-Unlicensed. In NR-U, the scheduling of multi PUSCHs in contiguous time resources was supported. This is mainly because of the restriction on the maximum limit of time a UE can occupy in the unlicensed band in order to co-exist with devices of other technology sharing the unlicensed band. If PUSCHs are scheduled non-contiguously, then there is a chance that some of the PUSCHs fall outside the COT of the UE and therefore will not be transmitted. But such issues are not present in licensed bands. Hence, scheduling of PDSCHs/PUSCHs in non-contiguous time resources should also be supported in NR above 52.6GHz. By supporting scheduling of non-contiguous PDSCHs/PUSCHs, the scheduling flexibility for a UE will be increased. </w:t>
      </w:r>
    </w:p>
    <w:p>
      <w:pPr>
        <w:pStyle w:val="Normal"/>
        <w:spacing w:before="120" w:after="0"/>
        <w:jc w:val="both"/>
        <w:rPr>
          <w:szCs w:val="36"/>
          <w:lang w:eastAsia="ja-JP"/>
        </w:rPr>
      </w:pPr>
      <w:r>
        <w:rPr>
          <w:szCs w:val="36"/>
          <w:lang w:eastAsia="ja-JP"/>
        </w:rPr>
      </w:r>
    </w:p>
    <w:p>
      <w:pPr>
        <w:pStyle w:val="Normal"/>
        <w:spacing w:before="120" w:after="0"/>
        <w:jc w:val="both"/>
        <w:rPr>
          <w:b/>
          <w:b/>
          <w:szCs w:val="36"/>
          <w:lang w:eastAsia="ja-JP"/>
        </w:rPr>
      </w:pPr>
      <w:r>
        <w:rPr>
          <w:b/>
          <w:szCs w:val="36"/>
          <w:lang w:eastAsia="ja-JP"/>
        </w:rPr>
        <w:t>Proposal 1: Scheduling of multi PDSCHs/PUSCHs in non-contiguous time resources should be supported in NR above 52.6GHz</w:t>
      </w:r>
    </w:p>
    <w:p>
      <w:pPr>
        <w:pStyle w:val="Normal"/>
        <w:spacing w:before="120" w:after="0"/>
        <w:jc w:val="both"/>
        <w:rPr>
          <w:b/>
          <w:b/>
          <w:szCs w:val="36"/>
          <w:lang w:eastAsia="ja-JP"/>
        </w:rPr>
      </w:pPr>
      <w:r>
        <w:rPr>
          <w:b/>
          <w:szCs w:val="36"/>
          <w:lang w:eastAsia="ja-JP"/>
        </w:rPr>
      </w:r>
    </w:p>
    <w:p>
      <w:pPr>
        <w:pStyle w:val="Normal"/>
        <w:spacing w:before="120" w:after="0"/>
        <w:jc w:val="both"/>
        <w:rPr>
          <w:szCs w:val="36"/>
          <w:lang w:eastAsia="ja-JP"/>
        </w:rPr>
      </w:pPr>
      <w:r>
        <w:rPr>
          <w:szCs w:val="36"/>
          <w:lang w:eastAsia="ja-JP"/>
        </w:rPr>
        <w:t>In Rel-16 NR, the gNB can schedule a maximum of 8 PUSCHs using a single DCI. However, in case of NR above 52.6GHz, the maximum number of PDSCH/PUSCH that can be scheduled by a single DCI should be dependent on the SCS of the PDSCH/PUSCH. Therefore, study should be performed to decide on the maximum number of PDSCH/PUSCH that can be scheduled in single DCI.</w:t>
      </w:r>
    </w:p>
    <w:p>
      <w:pPr>
        <w:pStyle w:val="Normal"/>
        <w:spacing w:before="120" w:after="0"/>
        <w:jc w:val="both"/>
        <w:rPr>
          <w:szCs w:val="36"/>
          <w:lang w:eastAsia="ja-JP"/>
        </w:rPr>
      </w:pPr>
      <w:r>
        <w:rPr>
          <w:b/>
          <w:szCs w:val="36"/>
          <w:lang w:eastAsia="ja-JP"/>
        </w:rPr>
        <w:t>Proposal 2: The maximum number of PDSCH/PUSCH that can be scheduled per DCI should be studied.</w:t>
      </w:r>
    </w:p>
    <w:p>
      <w:pPr>
        <w:pStyle w:val="Normal"/>
        <w:spacing w:before="120" w:after="0"/>
        <w:jc w:val="both"/>
        <w:rPr>
          <w:szCs w:val="36"/>
          <w:lang w:eastAsia="ja-JP"/>
        </w:rPr>
      </w:pPr>
      <w:r>
        <w:rPr>
          <w:szCs w:val="36"/>
          <w:lang w:eastAsia="ja-JP"/>
        </w:rPr>
        <w:t xml:space="preserve">Forming a HARQ codebook for multi-PDSCH transmission is one of the major issues that needs to be discussed. In RAN1 #104e meeting, it has been agreed that the HARQ ACK information corresponding to multiple PDSCHs will be bundled and transmitted in a single PUCCH. The slot where the PUCCH is transmitted is determined by the K1 value indicated in the DCI where, K1 indicates the slot offset between the slot carrying the last PDSCH and the slot in which PUCCH is transmitted. In addition to this, the flexibility to transmit HARQ ACK information regarding different PDCSHs scheduled using single DCI in different slots should be supported. When a multi-PDSCH is scheduled to a UE, then the UE has to wait until the processing of the last PDSCH in order to send HARQ ACK information for first PDSCH. Because of this, the HARQ process corresponding to the first PDSCH will be blocked for a long period of time. Hence, the flexibility of transmitting HARQ ACK information of the processed PDSCHs in a multi-PDSCH, without waiting till the final PDSCH, should be supported in NR above 52.6GHz. </w:t>
      </w:r>
    </w:p>
    <w:p>
      <w:pPr>
        <w:pStyle w:val="Normal"/>
        <w:spacing w:before="120" w:after="0"/>
        <w:jc w:val="both"/>
        <w:rPr>
          <w:szCs w:val="36"/>
          <w:lang w:eastAsia="ja-JP"/>
        </w:rPr>
      </w:pPr>
      <w:r>
        <w:rPr>
          <w:szCs w:val="36"/>
          <w:lang w:eastAsia="ja-JP"/>
        </w:rPr>
      </w:r>
    </w:p>
    <w:p>
      <w:pPr>
        <w:pStyle w:val="Normal"/>
        <w:spacing w:before="120" w:after="0"/>
        <w:jc w:val="both"/>
        <w:rPr>
          <w:szCs w:val="36"/>
          <w:lang w:eastAsia="ja-JP"/>
        </w:rPr>
      </w:pPr>
      <w:r>
        <w:rPr>
          <w:b/>
          <w:szCs w:val="36"/>
          <w:lang w:eastAsia="ja-JP"/>
        </w:rPr>
        <w:t>Proposal 3: Flexibility to transmit HARQ for the processed PDSCHs among the transmitted multi-PDSCHs, without waiting till the final PDSCH, should be supported in NR above 52.6GHz</w:t>
      </w:r>
    </w:p>
    <w:p>
      <w:pPr>
        <w:pStyle w:val="Normal"/>
        <w:spacing w:before="120" w:after="0"/>
        <w:jc w:val="both"/>
        <w:rPr>
          <w:b/>
          <w:b/>
          <w:szCs w:val="36"/>
          <w:lang w:eastAsia="ja-JP"/>
        </w:rPr>
      </w:pPr>
      <w:r>
        <w:rPr>
          <w:b/>
          <w:szCs w:val="36"/>
          <w:lang w:eastAsia="ja-JP"/>
        </w:rPr>
      </w:r>
    </w:p>
    <w:p>
      <w:pPr>
        <w:pStyle w:val="TextBody"/>
        <w:jc w:val="both"/>
        <w:rPr>
          <w:lang w:val="en-GB"/>
        </w:rPr>
      </w:pPr>
      <w:r>
        <w:rPr>
          <w:lang w:val="en-GB"/>
        </w:rPr>
        <w:t>In case of scheduling multi-PDSCH/PUSCH using single DCI, multiple HARQ process IDs are used. The latency involved in transmitting HARQ in case of multi PDSCH/</w:t>
      </w:r>
      <w:bookmarkStart w:id="0" w:name="_GoBack"/>
      <w:bookmarkEnd w:id="0"/>
      <w:r>
        <w:rPr>
          <w:lang w:val="en-GB"/>
        </w:rPr>
        <w:t>PUSCH may block the corresponding HARQ process ID. This may affect the throughput. An increase of the number of HARQ processes may become necessary to avoid HARQ process starvation. The increment in the maximum number of HARQ processes from 16 to 32 should be supported.</w:t>
      </w:r>
    </w:p>
    <w:p>
      <w:pPr>
        <w:pStyle w:val="TextBody"/>
        <w:jc w:val="both"/>
        <w:rPr>
          <w:lang w:val="en-GB"/>
        </w:rPr>
      </w:pPr>
      <w:r>
        <w:rPr>
          <w:lang w:val="en-GB"/>
        </w:rPr>
      </w:r>
    </w:p>
    <w:p>
      <w:pPr>
        <w:pStyle w:val="Normal"/>
        <w:spacing w:before="120" w:after="0"/>
        <w:jc w:val="both"/>
        <w:rPr>
          <w:szCs w:val="36"/>
          <w:lang w:eastAsia="ja-JP"/>
        </w:rPr>
      </w:pPr>
      <w:r>
        <w:rPr>
          <w:b/>
          <w:szCs w:val="36"/>
          <w:lang w:eastAsia="ja-JP"/>
        </w:rPr>
        <w:t xml:space="preserve">Proposal 4: Support for increment in the maximum number of HARQ processes from 16 to 32 in UL and DL. </w:t>
      </w:r>
    </w:p>
    <w:p>
      <w:pPr>
        <w:pStyle w:val="Normal"/>
        <w:spacing w:before="120" w:after="0"/>
        <w:jc w:val="both"/>
        <w:rPr>
          <w:b/>
          <w:b/>
          <w:szCs w:val="36"/>
          <w:u w:val="single"/>
          <w:lang w:eastAsia="ja-JP"/>
        </w:rPr>
      </w:pPr>
      <w:r>
        <w:rPr>
          <w:b/>
          <w:szCs w:val="36"/>
          <w:u w:val="single"/>
          <w:lang w:eastAsia="ja-JP"/>
        </w:rPr>
      </w:r>
    </w:p>
    <w:p>
      <w:pPr>
        <w:pStyle w:val="Normal"/>
        <w:spacing w:before="120" w:after="0"/>
        <w:jc w:val="both"/>
        <w:rPr>
          <w:b/>
          <w:b/>
          <w:szCs w:val="36"/>
          <w:u w:val="single"/>
          <w:lang w:eastAsia="ja-JP"/>
        </w:rPr>
      </w:pPr>
      <w:r>
        <w:rPr>
          <w:b/>
          <w:szCs w:val="36"/>
          <w:u w:val="single"/>
          <w:lang w:eastAsia="ja-JP"/>
        </w:rPr>
      </w:r>
    </w:p>
    <w:p>
      <w:pPr>
        <w:pStyle w:val="Normal"/>
        <w:keepNext/>
        <w:keepLines/>
        <w:numPr>
          <w:ilvl w:val="0"/>
          <w:numId w:val="0"/>
        </w:numPr>
        <w:pBdr>
          <w:top w:val="single" w:sz="12" w:space="3" w:color="00000A"/>
        </w:pBdr>
        <w:tabs>
          <w:tab w:val="left" w:pos="426" w:leader="none"/>
          <w:tab w:val="left" w:pos="4969" w:leader="none"/>
        </w:tabs>
        <w:ind w:left="426" w:hanging="426"/>
        <w:jc w:val="both"/>
        <w:outlineLvl w:val="0"/>
        <w:rPr>
          <w:rFonts w:eastAsia="MS Mincho"/>
          <w:szCs w:val="36"/>
          <w:lang w:eastAsia="ja-JP"/>
        </w:rPr>
      </w:pPr>
      <w:r>
        <w:rPr>
          <w:rFonts w:eastAsia="MS Mincho"/>
          <w:szCs w:val="36"/>
          <w:lang w:eastAsia="ja-JP"/>
        </w:rPr>
      </w:r>
    </w:p>
    <w:p>
      <w:pPr>
        <w:pStyle w:val="Normal"/>
        <w:keepNext/>
        <w:keepLines/>
        <w:numPr>
          <w:ilvl w:val="0"/>
          <w:numId w:val="0"/>
        </w:numPr>
        <w:pBdr>
          <w:top w:val="single" w:sz="12" w:space="3" w:color="00000A"/>
        </w:pBdr>
        <w:tabs>
          <w:tab w:val="left" w:pos="426" w:leader="none"/>
          <w:tab w:val="left" w:pos="4969" w:leader="none"/>
        </w:tabs>
        <w:ind w:left="426" w:hanging="426"/>
        <w:jc w:val="both"/>
        <w:outlineLvl w:val="0"/>
        <w:rPr>
          <w:rFonts w:ascii="Arial" w:hAnsi="Arial" w:eastAsia="MS Mincho"/>
          <w:sz w:val="36"/>
          <w:szCs w:val="36"/>
          <w:lang w:eastAsia="ja-JP"/>
        </w:rPr>
      </w:pPr>
      <w:r>
        <w:rPr>
          <w:rFonts w:eastAsia="MS Mincho" w:ascii="Arial" w:hAnsi="Arial"/>
          <w:sz w:val="36"/>
          <w:szCs w:val="36"/>
          <w:lang w:eastAsia="ja-JP"/>
        </w:rPr>
        <w:t>3 Enhancements to PTRS</w:t>
      </w:r>
    </w:p>
    <w:p>
      <w:pPr>
        <w:pStyle w:val="Normal"/>
        <w:keepNext/>
        <w:keepLines/>
        <w:numPr>
          <w:ilvl w:val="0"/>
          <w:numId w:val="0"/>
        </w:numPr>
        <w:pBdr>
          <w:top w:val="single" w:sz="12" w:space="3" w:color="00000A"/>
        </w:pBdr>
        <w:tabs>
          <w:tab w:val="left" w:pos="426" w:leader="none"/>
          <w:tab w:val="left" w:pos="4969" w:leader="none"/>
        </w:tabs>
        <w:ind w:left="426" w:hanging="426"/>
        <w:jc w:val="both"/>
        <w:outlineLvl w:val="0"/>
        <w:rPr>
          <w:rFonts w:ascii="Arial" w:hAnsi="Arial" w:eastAsia="MS Mincho"/>
          <w:sz w:val="36"/>
          <w:szCs w:val="36"/>
          <w:lang w:eastAsia="ja-JP"/>
        </w:rPr>
      </w:pPr>
      <w:r>
        <w:rPr>
          <w:rFonts w:eastAsia="MS Mincho" w:ascii="Arial" w:hAnsi="Arial"/>
          <w:sz w:val="36"/>
          <w:szCs w:val="36"/>
          <w:lang w:eastAsia="ja-JP"/>
        </w:rPr>
      </w:r>
    </w:p>
    <w:p>
      <w:pPr>
        <w:pStyle w:val="Normal"/>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szCs w:val="36"/>
          <w:lang w:eastAsia="ja-JP"/>
        </w:rPr>
        <w:t>The increasing user density and the deployment of various applications requiring untethered connectivity along with increasing demand for high data rate applications require more spectrum. The frequencies available in the higher bands are required to meet such high bandwidth requirements due to the availability of large spectrum allocations and larger bandwidths that are not available in lower bands. Higher frequencies above 52.6 GHz, are posed with several challenges such as higher impact of phase noise (PN), larger propagation loss, oxygen absorption and lower power amplifier efficiency. Carrier frequency offset (CFO) and PN effects are much higher due to severe imperfection of PA and crystal oscillator in higher band when compared to lower bands. In addition, Doppler shift/spread also increases with increasing carrier frequency. As a result, robustness to CFO and PN become a key requirement for systems operating on high frequency bands such as frequencies above 52.6 GHz. Higher levels of phase noise (PN) affect the orthogonality between the subcarriers, which is the primary feature of the OFDM systems, leading to significant performance degradation. This necessitates modifications in the reference signal (RS) design, to capture the effects of PN and correct them during data demodulation.</w:t>
      </w:r>
    </w:p>
    <w:p>
      <w:pPr>
        <w:pStyle w:val="Normal"/>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szCs w:val="36"/>
          <w:lang w:eastAsia="ja-JP"/>
        </w:rPr>
      </w:r>
    </w:p>
    <w:p>
      <w:pPr>
        <w:pStyle w:val="Normal"/>
        <w:pBdr>
          <w:top w:val="single" w:sz="12" w:space="3" w:color="00000A"/>
        </w:pBdr>
        <w:tabs>
          <w:tab w:val="left" w:pos="426" w:leader="none"/>
          <w:tab w:val="left" w:pos="4969" w:leader="none"/>
        </w:tabs>
        <w:spacing w:before="120" w:after="0"/>
        <w:jc w:val="both"/>
        <w:rPr/>
      </w:pPr>
      <w:r>
        <w:rPr>
          <w:rFonts w:eastAsia="MS Mincho"/>
          <w:szCs w:val="36"/>
          <w:lang w:eastAsia="ja-JP"/>
        </w:rPr>
        <w:t>Phase noise has two components viz., Common phase error (CPE) and Inter carrier interference (ICI). CPE leads to identical rotation of the received symbols in each subcarriers whereas ICI leads to loss of orthogonality between the subcarriers. In FR1 and FR2 frequencies, the effect of CPE is experienced, whereas the ICI component of the phase noise is negligible. The effect of CPE can be mitigated easily by using a pilot symbols, estimating the phase rotation induced in the pilot due to phase noise and correcting that phase rotation for all the subcarriers. Therefore, a distributed PT-RS design is used for FR1 and FR2, which is fairly simple in nature and sufficient to correct the CPE. However, distributed PTRS is not sufficient to estimate and correct the ICI component of the phase noise in frequencies above 52.6GHz.</w:t>
      </w:r>
    </w:p>
    <w:p>
      <w:pPr>
        <w:pStyle w:val="Normal"/>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szCs w:val="36"/>
          <w:lang w:eastAsia="ja-JP"/>
        </w:rPr>
        <w:t xml:space="preserve">The effect of ICI can be suppressed by either estimating and correcting it at the receiver using a new reference signal or by transmitting using higher SCS. Generally, lower SCS are more prone to phase noise than higher SCS transmissions. In the  </w:t>
      </w:r>
      <w:r>
        <w:rPr/>
        <w:t>RAN1#103-e meeting</w:t>
      </w:r>
      <w:r>
        <w:rPr>
          <w:rFonts w:eastAsia="MS Mincho"/>
          <w:szCs w:val="36"/>
          <w:lang w:eastAsia="ja-JP"/>
        </w:rPr>
        <w:t xml:space="preserve">  [2], it has been agreed that 120KHz will be one of the SCS used for transmission in NR above 52.6GHz. 120KHz SCS has least resilience among the existing SCS against phase noise effects. Therefore, using existing distributed PT-RS designs will not be able to suppress the phase noise completely. Hence, at least for 120KHz SCS, new PT-RS designs needs to be studied to suppress the effects of phase noise  for carrier frequencies above 52.6GHz.</w:t>
      </w:r>
    </w:p>
    <w:p>
      <w:pPr>
        <w:pStyle w:val="Normal"/>
        <w:pBdr>
          <w:top w:val="single" w:sz="12" w:space="3" w:color="00000A"/>
        </w:pBdr>
        <w:tabs>
          <w:tab w:val="left" w:pos="426" w:leader="none"/>
          <w:tab w:val="left" w:pos="4969" w:leader="none"/>
        </w:tabs>
        <w:spacing w:before="120" w:after="0"/>
        <w:jc w:val="both"/>
        <w:rPr>
          <w:rFonts w:eastAsia="MS Mincho"/>
          <w:b/>
          <w:b/>
          <w:szCs w:val="36"/>
          <w:lang w:eastAsia="ja-JP"/>
        </w:rPr>
      </w:pPr>
      <w:r>
        <w:rPr>
          <w:rFonts w:eastAsia="MS Mincho"/>
          <w:b/>
          <w:szCs w:val="36"/>
          <w:lang w:eastAsia="ja-JP"/>
        </w:rPr>
        <w:t>Proposal 5: Support for new PT-RS design for NR above 52.6GHz at least for 120KHz SCS.</w:t>
      </w:r>
    </w:p>
    <w:p>
      <w:pPr>
        <w:pStyle w:val="Normal"/>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szCs w:val="36"/>
          <w:lang w:eastAsia="ja-JP"/>
        </w:rPr>
        <w:t xml:space="preserve">In Rel-15 NR, the PTRS is designed such that it has low density in frequency domain and high density in time domain. Low density used in frequency, since the CPE induced in all the subcarriers is constant and the ICI component is negligible in FR1 and FR2 frequency ranges. High density in time, since the phase noise induced in each OFDM symbol will be independent of each other. Time and frequency density of PTRS are configurable depending on the quality of the oscillators, carrier frequency, subcarrier spacing and MCS used for transmission. Generally, higher MCS are affected more because of the phase noise. </w:t>
      </w:r>
    </w:p>
    <w:p>
      <w:pPr>
        <w:pStyle w:val="Normal"/>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szCs w:val="36"/>
          <w:lang w:eastAsia="ja-JP"/>
        </w:rPr>
        <w:t xml:space="preserve"> </w:t>
      </w:r>
      <w:r>
        <w:rPr>
          <w:rFonts w:eastAsia="MS Mincho"/>
          <w:szCs w:val="36"/>
          <w:lang w:eastAsia="ja-JP"/>
        </w:rPr>
        <w:t>The new PT-RS design introduced for frequencies above 52.6 GHz should be designed such that the effect of both CPE and ICI in the received signal can be eliminated. One of the most popular and effective methods to suppress phase noise in OFDM systems is by transmitting a block of pilot symbols and estimating  ICI coefficients at the receiver and using the estimated ICI coefficients  in data demodulation. This is commonly referred to as block-PTRS. Block-PTRS can suppress the effect of phase noise in OFDM systems effectively thus increasing the reliability of the corresponding data demodulation.</w:t>
      </w:r>
    </w:p>
    <w:p>
      <w:pPr>
        <w:pStyle w:val="Normal"/>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szCs w:val="36"/>
          <w:lang w:eastAsia="ja-JP"/>
        </w:rPr>
      </w:r>
    </w:p>
    <w:p>
      <w:pPr>
        <w:pStyle w:val="Normal"/>
        <w:pBdr>
          <w:top w:val="single" w:sz="12" w:space="3" w:color="00000A"/>
        </w:pBdr>
        <w:tabs>
          <w:tab w:val="left" w:pos="426" w:leader="none"/>
          <w:tab w:val="left" w:pos="4969" w:leader="none"/>
        </w:tabs>
        <w:spacing w:before="120" w:after="0"/>
        <w:jc w:val="both"/>
        <w:rPr>
          <w:rFonts w:eastAsia="MS Mincho"/>
          <w:b/>
          <w:b/>
          <w:szCs w:val="36"/>
          <w:lang w:eastAsia="ja-JP"/>
        </w:rPr>
      </w:pPr>
      <w:r>
        <w:rPr>
          <w:rFonts w:eastAsia="MS Mincho"/>
          <w:b/>
          <w:szCs w:val="36"/>
          <w:lang w:eastAsia="ja-JP"/>
        </w:rPr>
        <w:t>Proposal 6: Support Block-PTRS as one of the candidates for new PTRS design for NR above 52.6GHz.</w:t>
      </w:r>
    </w:p>
    <w:p>
      <w:pPr>
        <w:pStyle w:val="Normal"/>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szCs w:val="36"/>
          <w:lang w:eastAsia="ja-JP"/>
        </w:rPr>
      </w:r>
    </w:p>
    <w:p>
      <w:pPr>
        <w:pStyle w:val="Normal"/>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szCs w:val="36"/>
          <w:lang w:eastAsia="ja-JP"/>
        </w:rPr>
        <w:t>Employing block PTRS is effective for estimating ICI coefficients at the receiver. However, it requires more overhead than the existing distributed PTRS. The specification impact due to the introduction of the new PTRS design should be carefully studied, keeping the PTRS overhead in check. The time density of PTRS can be based on MCS as for FR1 and FR2 as the impact of the phase noise on different MCS remain similar irrespective of the frequency band being used.</w:t>
      </w:r>
    </w:p>
    <w:p>
      <w:pPr>
        <w:pStyle w:val="Normal"/>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b/>
          <w:szCs w:val="36"/>
          <w:lang w:eastAsia="ja-JP"/>
        </w:rPr>
        <w:t xml:space="preserve"> </w:t>
      </w:r>
      <w:r>
        <w:rPr>
          <w:rFonts w:eastAsia="MS Mincho"/>
          <w:b/>
          <w:szCs w:val="36"/>
          <w:lang w:eastAsia="ja-JP"/>
        </w:rPr>
        <w:t xml:space="preserve">Observation 1: The specification impact due to the introduction of new PTRS design should be carefully studied. </w:t>
      </w:r>
    </w:p>
    <w:p>
      <w:pPr>
        <w:pStyle w:val="Normal"/>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b/>
          <w:szCs w:val="36"/>
          <w:lang w:eastAsia="ja-JP"/>
        </w:rPr>
        <w:t>Proposal 7: Time density based on MCS, as in FR1 and FR2, is supported.</w:t>
      </w:r>
    </w:p>
    <w:p>
      <w:pPr>
        <w:pStyle w:val="Normal"/>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szCs w:val="36"/>
          <w:lang w:eastAsia="ja-JP"/>
        </w:rPr>
      </w:r>
    </w:p>
    <w:p>
      <w:pPr>
        <w:pStyle w:val="Normal"/>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ascii="Arial" w:hAnsi="Arial"/>
          <w:sz w:val="36"/>
          <w:szCs w:val="36"/>
          <w:lang w:eastAsia="ja-JP"/>
        </w:rPr>
        <w:t>4 Enhancements to DMRS</w:t>
      </w:r>
    </w:p>
    <w:p>
      <w:pPr>
        <w:pStyle w:val="Normal"/>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szCs w:val="36"/>
          <w:lang w:eastAsia="ja-JP"/>
        </w:rPr>
      </w:r>
    </w:p>
    <w:p>
      <w:pPr>
        <w:pStyle w:val="Normal"/>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szCs w:val="36"/>
          <w:lang w:eastAsia="ja-JP"/>
        </w:rPr>
        <w:t xml:space="preserve">Generally, DMRS is used to estimate the channel at the receiver and use it for data demodulation. But in carrier frequencies above 52.6GHz, the channel estimated using DMRS will not be as accurate as the estimated channel in FR1 and FR2. This reduced channel estimation performance in NR above 52.6GHz arises because of multiple factors. When lower subcarrier spacing such as 120KHz is used, the accuracy in channel estimation reduces because of the additional noise induced in the DMRS symbols caused by the ICI component of the phase noise. When higher subcarrier spacing such as 960KHz is used, the channel estimation accuracy will reduce for frequency selective channels when the channel coherence bandwidth is less than the DMRS spacing. Hence, to deal with the inaccuracies in channel estimation, an additional DMRS pattern needs to be studied which helps in reducing the inaccuracy caused by the phase noise in lower SCS and frequency selectivity in higher SCS. </w:t>
      </w:r>
    </w:p>
    <w:p>
      <w:pPr>
        <w:pStyle w:val="Normal"/>
        <w:pBdr>
          <w:top w:val="single" w:sz="12" w:space="3" w:color="00000A"/>
        </w:pBdr>
        <w:tabs>
          <w:tab w:val="left" w:pos="426" w:leader="none"/>
          <w:tab w:val="left" w:pos="4969" w:leader="none"/>
        </w:tabs>
        <w:spacing w:before="120" w:after="0"/>
        <w:jc w:val="both"/>
        <w:rPr>
          <w:rFonts w:eastAsia="MS Mincho"/>
          <w:szCs w:val="36"/>
          <w:lang w:eastAsia="ja-JP"/>
        </w:rPr>
      </w:pPr>
      <w:r>
        <w:rPr>
          <w:rFonts w:eastAsia="MS Mincho"/>
          <w:szCs w:val="36"/>
          <w:lang w:eastAsia="ja-JP"/>
        </w:rPr>
      </w:r>
    </w:p>
    <w:p>
      <w:pPr>
        <w:pStyle w:val="Normal"/>
        <w:pBdr>
          <w:top w:val="single" w:sz="12" w:space="3" w:color="00000A"/>
        </w:pBdr>
        <w:tabs>
          <w:tab w:val="left" w:pos="426" w:leader="none"/>
          <w:tab w:val="left" w:pos="4969" w:leader="none"/>
        </w:tabs>
        <w:spacing w:before="120" w:after="0"/>
        <w:jc w:val="both"/>
        <w:rPr>
          <w:rFonts w:eastAsia="MS Mincho"/>
          <w:b/>
          <w:b/>
          <w:szCs w:val="36"/>
          <w:lang w:eastAsia="ja-JP"/>
        </w:rPr>
      </w:pPr>
      <w:r>
        <w:rPr>
          <w:rFonts w:eastAsia="MS Mincho"/>
          <w:b/>
          <w:szCs w:val="36"/>
          <w:lang w:eastAsia="ja-JP"/>
        </w:rPr>
        <w:t>Proposal 8: Support for a new DMRS design for NR above 52.6GHz to improve channel estimation accuracy.</w:t>
      </w:r>
    </w:p>
    <w:p>
      <w:pPr>
        <w:pStyle w:val="Normal"/>
        <w:rPr/>
      </w:pPr>
      <w:r>
        <w:rPr/>
      </w:r>
    </w:p>
    <w:p>
      <w:pPr>
        <w:pStyle w:val="Normal"/>
        <w:jc w:val="both"/>
        <w:rPr>
          <w:iCs/>
        </w:rPr>
      </w:pPr>
      <w:r>
        <w:rPr>
          <w:iCs/>
        </w:rPr>
      </w:r>
    </w:p>
    <w:p>
      <w:pPr>
        <w:pStyle w:val="Normal"/>
        <w:keepNext/>
        <w:keepLines/>
        <w:numPr>
          <w:ilvl w:val="0"/>
          <w:numId w:val="0"/>
        </w:numPr>
        <w:pBdr>
          <w:top w:val="single" w:sz="12" w:space="3" w:color="00000A"/>
        </w:pBdr>
        <w:tabs>
          <w:tab w:val="left" w:pos="426" w:leader="none"/>
          <w:tab w:val="left" w:pos="4969" w:leader="none"/>
        </w:tabs>
        <w:ind w:left="426" w:hanging="426"/>
        <w:jc w:val="both"/>
        <w:outlineLvl w:val="0"/>
        <w:rPr>
          <w:rFonts w:ascii="Arial" w:hAnsi="Arial" w:eastAsia="MS Mincho"/>
          <w:sz w:val="36"/>
          <w:szCs w:val="36"/>
          <w:lang w:eastAsia="ja-JP"/>
        </w:rPr>
      </w:pPr>
      <w:r>
        <w:rPr>
          <w:rFonts w:eastAsia="MS Mincho" w:ascii="Arial" w:hAnsi="Arial"/>
          <w:sz w:val="36"/>
          <w:szCs w:val="36"/>
          <w:lang w:eastAsia="ja-JP"/>
        </w:rPr>
        <w:t>4 Conclusion</w:t>
      </w:r>
    </w:p>
    <w:p>
      <w:pPr>
        <w:pStyle w:val="Normal"/>
        <w:keepNext/>
        <w:keepLines/>
        <w:numPr>
          <w:ilvl w:val="0"/>
          <w:numId w:val="0"/>
        </w:numPr>
        <w:pBdr>
          <w:top w:val="single" w:sz="12" w:space="3" w:color="00000A"/>
        </w:pBdr>
        <w:tabs>
          <w:tab w:val="left" w:pos="426" w:leader="none"/>
          <w:tab w:val="left" w:pos="4969" w:leader="none"/>
        </w:tabs>
        <w:ind w:left="426" w:hanging="426"/>
        <w:jc w:val="both"/>
        <w:outlineLvl w:val="0"/>
        <w:rPr>
          <w:rFonts w:ascii="Arial" w:hAnsi="Arial" w:eastAsia="MS Mincho"/>
          <w:sz w:val="36"/>
          <w:szCs w:val="36"/>
          <w:lang w:eastAsia="ja-JP"/>
        </w:rPr>
      </w:pPr>
      <w:r>
        <w:rPr>
          <w:rFonts w:eastAsia="MS Mincho" w:ascii="Arial" w:hAnsi="Arial"/>
          <w:sz w:val="36"/>
          <w:szCs w:val="36"/>
          <w:lang w:eastAsia="ja-JP"/>
        </w:rPr>
      </w:r>
    </w:p>
    <w:p>
      <w:pPr>
        <w:pStyle w:val="Normal"/>
        <w:rPr/>
      </w:pPr>
      <w:r>
        <w:rPr/>
        <w:t>This contribution discussed the possible changes required in PTRS and DMRS design for NR above 52.6GHz.</w:t>
      </w:r>
    </w:p>
    <w:p>
      <w:pPr>
        <w:pStyle w:val="Normal"/>
        <w:rPr/>
      </w:pPr>
      <w:r>
        <w:rPr/>
        <w:t>Further, we summarize the observation and proposals as follows:</w:t>
      </w:r>
    </w:p>
    <w:p>
      <w:pPr>
        <w:pStyle w:val="Normal"/>
        <w:rPr/>
      </w:pPr>
      <w:r>
        <w:rPr/>
      </w:r>
    </w:p>
    <w:p>
      <w:pPr>
        <w:pStyle w:val="Normal"/>
        <w:rPr>
          <w:rFonts w:eastAsia="MS Mincho"/>
          <w:b/>
          <w:b/>
          <w:szCs w:val="36"/>
          <w:lang w:eastAsia="ja-JP"/>
        </w:rPr>
      </w:pPr>
      <w:r>
        <w:rPr>
          <w:rFonts w:eastAsia="MS Mincho"/>
          <w:b/>
          <w:szCs w:val="36"/>
          <w:lang w:eastAsia="ja-JP"/>
        </w:rPr>
        <w:t>Observation 1: The specification impact due to the introduction of new PTRS design should be carefully studied.</w:t>
      </w:r>
    </w:p>
    <w:p>
      <w:pPr>
        <w:pStyle w:val="Normal"/>
        <w:rPr/>
      </w:pPr>
      <w:r>
        <w:rPr/>
      </w:r>
    </w:p>
    <w:p>
      <w:pPr>
        <w:pStyle w:val="Normal"/>
        <w:spacing w:before="120" w:after="0"/>
        <w:jc w:val="both"/>
        <w:rPr>
          <w:b/>
          <w:b/>
          <w:szCs w:val="36"/>
          <w:lang w:eastAsia="ja-JP"/>
        </w:rPr>
      </w:pPr>
      <w:r>
        <w:rPr>
          <w:b/>
          <w:szCs w:val="36"/>
          <w:lang w:eastAsia="ja-JP"/>
        </w:rPr>
        <w:t>Proposal 1: Scheduling of multi PDSCHs/PUSCHs in non-contiguous time resources should be supported in NR above 52.6GHz</w:t>
      </w:r>
    </w:p>
    <w:p>
      <w:pPr>
        <w:pStyle w:val="Normal"/>
        <w:spacing w:before="120" w:after="0"/>
        <w:jc w:val="both"/>
        <w:rPr>
          <w:b/>
          <w:b/>
          <w:szCs w:val="36"/>
          <w:lang w:eastAsia="ja-JP"/>
        </w:rPr>
      </w:pPr>
      <w:r>
        <w:rPr>
          <w:b/>
          <w:szCs w:val="36"/>
          <w:lang w:eastAsia="ja-JP"/>
        </w:rPr>
      </w:r>
    </w:p>
    <w:p>
      <w:pPr>
        <w:pStyle w:val="Normal"/>
        <w:rPr>
          <w:b/>
          <w:b/>
          <w:szCs w:val="36"/>
          <w:lang w:eastAsia="ja-JP"/>
        </w:rPr>
      </w:pPr>
      <w:r>
        <w:rPr>
          <w:b/>
          <w:szCs w:val="36"/>
          <w:lang w:eastAsia="ja-JP"/>
        </w:rPr>
        <w:t>Proposal 2: The maximum number of PDSCH/PUSCH that can be scheduled per DCI should be studied.</w:t>
      </w:r>
    </w:p>
    <w:p>
      <w:pPr>
        <w:pStyle w:val="Normal"/>
        <w:rPr>
          <w:b/>
          <w:b/>
          <w:szCs w:val="36"/>
          <w:lang w:eastAsia="ja-JP"/>
        </w:rPr>
      </w:pPr>
      <w:r>
        <w:rPr>
          <w:b/>
          <w:szCs w:val="36"/>
          <w:lang w:eastAsia="ja-JP"/>
        </w:rPr>
      </w:r>
    </w:p>
    <w:p>
      <w:pPr>
        <w:pStyle w:val="Normal"/>
        <w:spacing w:before="120" w:after="0"/>
        <w:jc w:val="both"/>
        <w:rPr>
          <w:szCs w:val="36"/>
          <w:lang w:eastAsia="ja-JP"/>
        </w:rPr>
      </w:pPr>
      <w:r>
        <w:rPr>
          <w:b/>
          <w:szCs w:val="36"/>
          <w:lang w:eastAsia="ja-JP"/>
        </w:rPr>
        <w:t>Proposal 3: Flexibility to transmit HARQ for the processed PDSCHs among the transmitted multi-PDSCHs should be supported in NR above 52.6GHz</w:t>
      </w:r>
    </w:p>
    <w:p>
      <w:pPr>
        <w:pStyle w:val="Normal"/>
        <w:rPr/>
      </w:pPr>
      <w:r>
        <w:rPr/>
      </w:r>
    </w:p>
    <w:p>
      <w:pPr>
        <w:pStyle w:val="Normal"/>
        <w:spacing w:before="120" w:after="0"/>
        <w:jc w:val="both"/>
        <w:rPr>
          <w:szCs w:val="36"/>
          <w:lang w:eastAsia="ja-JP"/>
        </w:rPr>
      </w:pPr>
      <w:r>
        <w:rPr>
          <w:b/>
          <w:szCs w:val="36"/>
          <w:lang w:eastAsia="ja-JP"/>
        </w:rPr>
        <w:t xml:space="preserve">Proposal 4: Support for increment in the maximum number of HARQ processes from 16 to 32 in UL and DL. </w:t>
      </w:r>
    </w:p>
    <w:p>
      <w:pPr>
        <w:pStyle w:val="Normal"/>
        <w:rPr/>
      </w:pPr>
      <w:r>
        <w:rPr/>
      </w:r>
    </w:p>
    <w:p>
      <w:pPr>
        <w:pStyle w:val="Normal"/>
        <w:rPr/>
      </w:pPr>
      <w:r>
        <w:rPr>
          <w:rFonts w:eastAsia="MS Mincho"/>
          <w:b/>
          <w:szCs w:val="36"/>
          <w:lang w:eastAsia="ja-JP"/>
        </w:rPr>
        <w:t>Proposal 5: Support for new PT-RS for NR above 52.6GHz at least for 120KHz SCS.</w:t>
      </w:r>
    </w:p>
    <w:p>
      <w:pPr>
        <w:pStyle w:val="Normal"/>
        <w:rPr/>
      </w:pPr>
      <w:r>
        <w:rPr/>
      </w:r>
    </w:p>
    <w:p>
      <w:pPr>
        <w:pStyle w:val="Normal"/>
        <w:rPr>
          <w:rFonts w:eastAsia="MS Mincho"/>
          <w:b/>
          <w:b/>
          <w:szCs w:val="36"/>
          <w:lang w:eastAsia="ja-JP"/>
        </w:rPr>
      </w:pPr>
      <w:r>
        <w:rPr>
          <w:rFonts w:eastAsia="MS Mincho"/>
          <w:b/>
          <w:szCs w:val="36"/>
          <w:lang w:eastAsia="ja-JP"/>
        </w:rPr>
        <w:t>Proposal 6: Support for Block-PTRS as one of the candidates for new PTRS design for NR above 52.6GHz.</w:t>
      </w:r>
    </w:p>
    <w:p>
      <w:pPr>
        <w:pStyle w:val="Normal"/>
        <w:rPr>
          <w:rFonts w:eastAsia="MS Mincho"/>
          <w:b/>
          <w:b/>
          <w:szCs w:val="36"/>
          <w:lang w:eastAsia="ja-JP"/>
        </w:rPr>
      </w:pPr>
      <w:r>
        <w:rPr>
          <w:rFonts w:eastAsia="MS Mincho"/>
          <w:b/>
          <w:szCs w:val="36"/>
          <w:lang w:eastAsia="ja-JP"/>
        </w:rPr>
      </w:r>
    </w:p>
    <w:p>
      <w:pPr>
        <w:pStyle w:val="Normal"/>
        <w:rPr>
          <w:rFonts w:eastAsia="MS Mincho"/>
          <w:b/>
          <w:b/>
          <w:szCs w:val="36"/>
          <w:lang w:eastAsia="ja-JP"/>
        </w:rPr>
      </w:pPr>
      <w:r>
        <w:rPr>
          <w:rFonts w:eastAsia="MS Mincho"/>
          <w:b/>
          <w:szCs w:val="36"/>
          <w:lang w:eastAsia="ja-JP"/>
        </w:rPr>
        <w:t>Proposal 7: Time density based on MCS, as in FR1 and FR2, is supported.</w:t>
      </w:r>
    </w:p>
    <w:p>
      <w:pPr>
        <w:pStyle w:val="Normal"/>
        <w:rPr>
          <w:rFonts w:eastAsia="MS Mincho"/>
          <w:b/>
          <w:b/>
          <w:szCs w:val="36"/>
          <w:lang w:eastAsia="ja-JP"/>
        </w:rPr>
      </w:pPr>
      <w:r>
        <w:rPr>
          <w:rFonts w:eastAsia="MS Mincho"/>
          <w:b/>
          <w:szCs w:val="36"/>
          <w:lang w:eastAsia="ja-JP"/>
        </w:rPr>
      </w:r>
    </w:p>
    <w:p>
      <w:pPr>
        <w:pStyle w:val="Normal"/>
        <w:rPr>
          <w:rFonts w:eastAsia="MS Mincho"/>
          <w:b/>
          <w:b/>
          <w:szCs w:val="36"/>
          <w:lang w:eastAsia="ja-JP"/>
        </w:rPr>
      </w:pPr>
      <w:r>
        <w:rPr>
          <w:rFonts w:eastAsia="MS Mincho"/>
          <w:b/>
          <w:szCs w:val="36"/>
          <w:lang w:eastAsia="ja-JP"/>
        </w:rPr>
        <w:t xml:space="preserve">Proposal 8: Support for a new DMRS design for NR above 52.6GHz to improve channel estimation accuracy. </w:t>
      </w:r>
    </w:p>
    <w:p>
      <w:pPr>
        <w:pStyle w:val="Normal"/>
        <w:rPr>
          <w:rFonts w:eastAsia="MS Mincho"/>
          <w:b/>
          <w:b/>
          <w:szCs w:val="36"/>
          <w:lang w:eastAsia="ja-JP"/>
        </w:rPr>
      </w:pPr>
      <w:r>
        <w:rPr>
          <w:rFonts w:eastAsia="MS Mincho"/>
          <w:b/>
          <w:szCs w:val="36"/>
          <w:lang w:eastAsia="ja-JP"/>
        </w:rPr>
      </w:r>
    </w:p>
    <w:p>
      <w:pPr>
        <w:pStyle w:val="Normal"/>
        <w:rPr/>
      </w:pPr>
      <w:r>
        <w:rPr/>
      </w:r>
    </w:p>
    <w:p>
      <w:pPr>
        <w:pStyle w:val="Normal"/>
        <w:rPr>
          <w:b/>
          <w:b/>
          <w:sz w:val="28"/>
        </w:rPr>
      </w:pPr>
      <w:r>
        <w:rPr>
          <w:b/>
          <w:sz w:val="28"/>
        </w:rPr>
        <w:t>Reference</w:t>
      </w:r>
    </w:p>
    <w:p>
      <w:pPr>
        <w:pStyle w:val="Normal"/>
        <w:rPr>
          <w:b/>
          <w:b/>
          <w:sz w:val="28"/>
        </w:rPr>
      </w:pPr>
      <w:r>
        <w:rPr>
          <w:b/>
          <w:sz w:val="28"/>
        </w:rPr>
      </w:r>
    </w:p>
    <w:p>
      <w:pPr>
        <w:pStyle w:val="Normal"/>
        <w:rPr/>
      </w:pPr>
      <w:r>
        <w:rPr/>
        <w:t>[1] RP-202925, “</w:t>
      </w:r>
      <w:r>
        <w:rPr>
          <w:i/>
        </w:rPr>
        <w:t>Revised WID: Extending current NR operation to 71GHz</w:t>
      </w:r>
      <w:r>
        <w:rPr/>
        <w:t>”, CMCC</w:t>
      </w:r>
    </w:p>
    <w:p>
      <w:pPr>
        <w:pStyle w:val="Normal"/>
        <w:rPr/>
      </w:pPr>
      <w:r>
        <w:rPr/>
        <w:t>[2] 3GPP RAN1#103-e, “</w:t>
      </w:r>
      <w:r>
        <w:rPr>
          <w:i/>
        </w:rPr>
        <w:t>Chairman Notes</w:t>
      </w:r>
      <w:r>
        <w:rPr/>
        <w:t>”</w:t>
      </w:r>
    </w:p>
    <w:p>
      <w:pPr>
        <w:pStyle w:val="Normal"/>
        <w:rPr/>
      </w:pPr>
      <w:r>
        <w:rPr/>
        <w:t>[3] 3GPP RAN1#104-e, “</w:t>
      </w:r>
      <w:r>
        <w:rPr>
          <w:i/>
        </w:rPr>
        <w:t>Chairman Notes</w:t>
      </w:r>
      <w:r>
        <w:rPr/>
        <w:t>”</w:t>
      </w:r>
    </w:p>
    <w:p>
      <w:pPr>
        <w:pStyle w:val="Normal"/>
        <w:rPr/>
      </w:pPr>
      <w:r>
        <w:rPr/>
      </w:r>
    </w:p>
    <w:p>
      <w:pPr>
        <w:pStyle w:val="Normal"/>
        <w:rPr/>
      </w:pPr>
      <w:r>
        <w:rPr/>
      </w:r>
    </w:p>
    <w:sectPr>
      <w:type w:val="nextPage"/>
      <w:pgSz w:w="11906" w:h="16838"/>
      <w:pgMar w:left="1022" w:right="1022" w:header="0" w:top="1022" w:footer="0" w:bottom="1022"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Times New Roman">
    <w:charset w:val="01"/>
    <w:family w:val="roman"/>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360" w:hanging="360"/>
      </w:pPr>
      <w:rPr>
        <w:rFonts w:ascii="Symbol" w:hAnsi="Symbol" w:cs="Symbol" w:hint="default"/>
        <w:rFonts w:cs="Symbol"/>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Fonts w:cs="Wingdings"/>
      </w:rPr>
    </w:lvl>
    <w:lvl w:ilvl="3">
      <w:start w:val="1"/>
      <w:numFmt w:val="bullet"/>
      <w:lvlText w:val=""/>
      <w:lvlJc w:val="left"/>
      <w:pPr>
        <w:ind w:left="2520" w:hanging="360"/>
      </w:pPr>
      <w:rPr>
        <w:rFonts w:ascii="Symbol" w:hAnsi="Symbol" w:cs="Symbol" w:hint="default"/>
        <w:rFonts w:cs="Symbol"/>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Fonts w:cs="Wingdings"/>
      </w:rPr>
    </w:lvl>
    <w:lvl w:ilvl="6">
      <w:start w:val="1"/>
      <w:numFmt w:val="bullet"/>
      <w:lvlText w:val=""/>
      <w:lvlJc w:val="left"/>
      <w:pPr>
        <w:ind w:left="4680" w:hanging="360"/>
      </w:pPr>
      <w:rPr>
        <w:rFonts w:ascii="Symbol" w:hAnsi="Symbol" w:cs="Symbol" w:hint="default"/>
        <w:rFonts w:cs="Symbol"/>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Fonts w:cs="Wingdings"/>
      </w:rPr>
    </w:lvl>
  </w:abstractNum>
  <w:abstractNum w:abstractNumId="2">
    <w:lvl w:ilvl="0">
      <w:start w:val="1"/>
      <w:numFmt w:val="bullet"/>
      <w:lvlText w:val="-"/>
      <w:lvlJc w:val="left"/>
      <w:pPr>
        <w:ind w:left="720" w:hanging="360"/>
      </w:pPr>
      <w:rPr>
        <w:rFonts w:ascii="Times New Roman" w:hAnsi="Times New Roman" w:cs="Times New Roman" w:hint="default"/>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bullet"/>
      <w:lvlText w:val=""/>
      <w:lvlJc w:val="left"/>
      <w:pPr>
        <w:ind w:left="720" w:hanging="360"/>
      </w:pPr>
      <w:rPr>
        <w:rFonts w:ascii="Symbol" w:hAnsi="Symbol" w:cs="Symbol" w:hint="default"/>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6">
    <w:lvl w:ilvl="0">
      <w:start w:val="1"/>
      <w:numFmt w:val="decimal"/>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3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3bb9"/>
    <w:pPr>
      <w:widowControl/>
      <w:bidi w:val="0"/>
      <w:spacing w:lineRule="auto" w:line="240" w:before="0" w:after="0"/>
      <w:jc w:val="left"/>
    </w:pPr>
    <w:rPr>
      <w:rFonts w:ascii="Times New Roman" w:hAnsi="Times New Roman" w:eastAsia="Yu Mincho" w:cs="Times New Roman"/>
      <w:color w:val="auto"/>
      <w:sz w:val="20"/>
      <w:szCs w:val="20"/>
      <w:lang w:val="en-US" w:eastAsia="en-US" w:bidi="ar-SA"/>
    </w:rPr>
  </w:style>
  <w:style w:type="character" w:styleId="DefaultParagraphFont" w:default="1">
    <w:name w:val="Default Paragraph Font"/>
    <w:uiPriority w:val="1"/>
    <w:semiHidden/>
    <w:unhideWhenUsed/>
    <w:qFormat/>
    <w:rPr/>
  </w:style>
  <w:style w:type="character" w:styleId="ListParagraphChar" w:customStyle="1">
    <w:name w:val="List Paragraph Char"/>
    <w:link w:val="ListParagraph"/>
    <w:uiPriority w:val="34"/>
    <w:qFormat/>
    <w:locked/>
    <w:rsid w:val="004b3bb9"/>
    <w:rPr>
      <w:rFonts w:ascii="Times New Roman" w:hAnsi="Times New Roman" w:eastAsia="MS Mincho" w:cs="Times New Roman"/>
      <w:sz w:val="20"/>
      <w:szCs w:val="20"/>
    </w:rPr>
  </w:style>
  <w:style w:type="character" w:styleId="B1Char1" w:customStyle="1">
    <w:name w:val="B1 Char1"/>
    <w:link w:val="B1"/>
    <w:qFormat/>
    <w:locked/>
    <w:rsid w:val="004b3bb9"/>
    <w:rPr>
      <w:rFonts w:ascii="Times New Roman" w:hAnsi="Times New Roman" w:eastAsia="SimSun" w:cs="Times New Roman"/>
      <w:sz w:val="20"/>
      <w:szCs w:val="20"/>
      <w:lang w:val="en-GB" w:eastAsia="en-GB"/>
    </w:rPr>
  </w:style>
  <w:style w:type="character" w:styleId="BodyTextChar" w:customStyle="1">
    <w:name w:val="Body Text Char"/>
    <w:basedOn w:val="DefaultParagraphFont"/>
    <w:link w:val="BodyText"/>
    <w:qFormat/>
    <w:rsid w:val="004b3bb9"/>
    <w:rPr>
      <w:rFonts w:ascii="Times New Roman" w:hAnsi="Times New Roman" w:eastAsia="Yu Mincho" w:cs="Times New Roman"/>
      <w:sz w:val="20"/>
      <w:szCs w:val="20"/>
    </w:rPr>
  </w:style>
  <w:style w:type="character" w:styleId="Annotationreference">
    <w:name w:val="annotation reference"/>
    <w:basedOn w:val="DefaultParagraphFont"/>
    <w:uiPriority w:val="99"/>
    <w:semiHidden/>
    <w:unhideWhenUsed/>
    <w:qFormat/>
    <w:rsid w:val="004b3bb9"/>
    <w:rPr>
      <w:sz w:val="16"/>
      <w:szCs w:val="16"/>
    </w:rPr>
  </w:style>
  <w:style w:type="character" w:styleId="CommentTextChar" w:customStyle="1">
    <w:name w:val="Comment Text Char"/>
    <w:basedOn w:val="DefaultParagraphFont"/>
    <w:link w:val="CommentText"/>
    <w:uiPriority w:val="99"/>
    <w:semiHidden/>
    <w:qFormat/>
    <w:rsid w:val="004b3bb9"/>
    <w:rPr>
      <w:rFonts w:ascii="Times New Roman" w:hAnsi="Times New Roman" w:eastAsia="Yu Mincho" w:cs="Times New Roman"/>
      <w:sz w:val="20"/>
      <w:szCs w:val="20"/>
    </w:rPr>
  </w:style>
  <w:style w:type="character" w:styleId="BalloonTextChar" w:customStyle="1">
    <w:name w:val="Balloon Text Char"/>
    <w:basedOn w:val="DefaultParagraphFont"/>
    <w:link w:val="BalloonText"/>
    <w:uiPriority w:val="99"/>
    <w:semiHidden/>
    <w:qFormat/>
    <w:rsid w:val="004b3bb9"/>
    <w:rPr>
      <w:rFonts w:ascii="Segoe UI" w:hAnsi="Segoe UI" w:eastAsia="Yu Mincho" w:cs="Segoe UI"/>
      <w:sz w:val="18"/>
      <w:szCs w:val="18"/>
    </w:rPr>
  </w:style>
  <w:style w:type="character" w:styleId="ListLabel1">
    <w:name w:val="ListLabel 1"/>
    <w:qFormat/>
    <w:rPr>
      <w:rFonts w:cs="Symbol"/>
    </w:rPr>
  </w:style>
  <w:style w:type="character" w:styleId="ListLabel2">
    <w:name w:val="ListLabel 2"/>
    <w:qFormat/>
    <w:rPr>
      <w:rFonts w:cs="Courier New"/>
    </w:rPr>
  </w:style>
  <w:style w:type="character" w:styleId="ListLabel3">
    <w:name w:val="ListLabel 3"/>
    <w:qFormat/>
    <w:rPr>
      <w:rFonts w:cs="Wingdings"/>
    </w:rPr>
  </w:style>
  <w:style w:type="character" w:styleId="ListLabel4">
    <w:name w:val="ListLabel 4"/>
    <w:qFormat/>
    <w:rPr>
      <w:rFonts w:cs="Symbol"/>
    </w:rPr>
  </w:style>
  <w:style w:type="character" w:styleId="ListLabel5">
    <w:name w:val="ListLabel 5"/>
    <w:qFormat/>
    <w:rPr>
      <w:rFonts w:cs="Courier New"/>
    </w:rPr>
  </w:style>
  <w:style w:type="character" w:styleId="ListLabel6">
    <w:name w:val="ListLabel 6"/>
    <w:qFormat/>
    <w:rPr>
      <w:rFonts w:cs="Wingdings"/>
    </w:rPr>
  </w:style>
  <w:style w:type="character" w:styleId="ListLabel7">
    <w:name w:val="ListLabel 7"/>
    <w:qFormat/>
    <w:rPr>
      <w:rFonts w:cs="Symbol"/>
    </w:rPr>
  </w:style>
  <w:style w:type="character" w:styleId="ListLabel8">
    <w:name w:val="ListLabel 8"/>
    <w:qFormat/>
    <w:rPr>
      <w:rFonts w:cs="Courier New"/>
    </w:rPr>
  </w:style>
  <w:style w:type="character" w:styleId="ListLabel9">
    <w:name w:val="ListLabel 9"/>
    <w:qFormat/>
    <w:rPr>
      <w:rFonts w:cs="Wingdings"/>
    </w:rPr>
  </w:style>
  <w:style w:type="character" w:styleId="ListLabel10">
    <w:name w:val="ListLabel 10"/>
    <w:qFormat/>
    <w:rPr>
      <w:rFonts w:cs="Times New Roman"/>
    </w:rPr>
  </w:style>
  <w:style w:type="character" w:styleId="ListLabel11">
    <w:name w:val="ListLabel 11"/>
    <w:qFormat/>
    <w:rPr>
      <w:rFonts w:cs="Courier New"/>
    </w:rPr>
  </w:style>
  <w:style w:type="character" w:styleId="ListLabel12">
    <w:name w:val="ListLabel 12"/>
    <w:qFormat/>
    <w:rPr>
      <w:rFonts w:cs="Wingdings"/>
    </w:rPr>
  </w:style>
  <w:style w:type="character" w:styleId="ListLabel13">
    <w:name w:val="ListLabel 13"/>
    <w:qFormat/>
    <w:rPr>
      <w:rFonts w:cs="Symbol"/>
    </w:rPr>
  </w:style>
  <w:style w:type="character" w:styleId="ListLabel14">
    <w:name w:val="ListLabel 14"/>
    <w:qFormat/>
    <w:rPr>
      <w:rFonts w:cs="Courier New"/>
    </w:rPr>
  </w:style>
  <w:style w:type="character" w:styleId="ListLabel15">
    <w:name w:val="ListLabel 15"/>
    <w:qFormat/>
    <w:rPr>
      <w:rFonts w:cs="Wingdings"/>
    </w:rPr>
  </w:style>
  <w:style w:type="character" w:styleId="ListLabel16">
    <w:name w:val="ListLabel 16"/>
    <w:qFormat/>
    <w:rPr>
      <w:rFonts w:cs="Symbol"/>
    </w:rPr>
  </w:style>
  <w:style w:type="character" w:styleId="ListLabel17">
    <w:name w:val="ListLabel 17"/>
    <w:qFormat/>
    <w:rPr>
      <w:rFonts w:cs="Courier New"/>
    </w:rPr>
  </w:style>
  <w:style w:type="character" w:styleId="ListLabel18">
    <w:name w:val="ListLabel 18"/>
    <w:qFormat/>
    <w:rPr>
      <w:rFonts w:cs="Wingdings"/>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eastAsia="Calibri" w:cs="Times New Roman"/>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paragraph" w:styleId="Heading">
    <w:name w:val="Heading"/>
    <w:basedOn w:val="Normal"/>
    <w:next w:val="TextBody"/>
    <w:qFormat/>
    <w:pPr>
      <w:keepNext/>
      <w:spacing w:before="240" w:after="120"/>
    </w:pPr>
    <w:rPr>
      <w:rFonts w:ascii="Liberation Sans" w:hAnsi="Liberation Sans" w:eastAsia="Noto Sans CJK SC Regular" w:cs="FreeSans"/>
      <w:sz w:val="28"/>
      <w:szCs w:val="28"/>
    </w:rPr>
  </w:style>
  <w:style w:type="paragraph" w:styleId="TextBody">
    <w:name w:val="Body Text"/>
    <w:basedOn w:val="Normal"/>
    <w:link w:val="BodyTextChar"/>
    <w:rsid w:val="004b3bb9"/>
    <w:pPr>
      <w:spacing w:lineRule="auto" w:line="288" w:before="0" w:after="140"/>
    </w:pPr>
    <w:rPr/>
  </w:style>
  <w:style w:type="paragraph" w:styleId="List">
    <w:name w:val="List"/>
    <w:basedOn w:val="Normal"/>
    <w:uiPriority w:val="99"/>
    <w:semiHidden/>
    <w:unhideWhenUsed/>
    <w:rsid w:val="004b3bb9"/>
    <w:pPr>
      <w:spacing w:before="0" w:after="0"/>
      <w:ind w:left="360" w:hanging="360"/>
      <w:contextualSpacing/>
    </w:pPr>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ListParagraph">
    <w:name w:val="List Paragraph"/>
    <w:basedOn w:val="Normal"/>
    <w:link w:val="ListParagraphChar"/>
    <w:uiPriority w:val="34"/>
    <w:qFormat/>
    <w:rsid w:val="004b3bb9"/>
    <w:pPr>
      <w:spacing w:before="0" w:after="180"/>
      <w:ind w:left="840" w:hanging="0"/>
    </w:pPr>
    <w:rPr>
      <w:rFonts w:eastAsia="MS Mincho"/>
    </w:rPr>
  </w:style>
  <w:style w:type="paragraph" w:styleId="B1" w:customStyle="1">
    <w:name w:val="B1"/>
    <w:basedOn w:val="List"/>
    <w:link w:val="B1Char1"/>
    <w:qFormat/>
    <w:rsid w:val="004b3bb9"/>
    <w:pPr>
      <w:spacing w:before="0" w:after="180"/>
      <w:ind w:left="568" w:hanging="284"/>
      <w:textAlignment w:val="baseline"/>
    </w:pPr>
    <w:rPr>
      <w:rFonts w:eastAsia="SimSun"/>
      <w:lang w:val="en-GB" w:eastAsia="en-GB"/>
    </w:rPr>
  </w:style>
  <w:style w:type="paragraph" w:styleId="Annotationtext">
    <w:name w:val="annotation text"/>
    <w:basedOn w:val="Normal"/>
    <w:link w:val="CommentTextChar"/>
    <w:uiPriority w:val="99"/>
    <w:semiHidden/>
    <w:unhideWhenUsed/>
    <w:qFormat/>
    <w:rsid w:val="004b3bb9"/>
    <w:pPr/>
    <w:rPr/>
  </w:style>
  <w:style w:type="paragraph" w:styleId="BalloonText">
    <w:name w:val="Balloon Text"/>
    <w:basedOn w:val="Normal"/>
    <w:link w:val="BalloonTextChar"/>
    <w:uiPriority w:val="99"/>
    <w:semiHidden/>
    <w:unhideWhenUsed/>
    <w:qFormat/>
    <w:rsid w:val="004b3bb9"/>
    <w:pPr/>
    <w:rPr>
      <w:rFonts w:ascii="Segoe UI" w:hAnsi="Segoe UI" w:cs="Segoe UI"/>
      <w:sz w:val="18"/>
      <w:szCs w:val="18"/>
    </w:rPr>
  </w:style>
  <w:style w:type="paragraph" w:styleId="Proposal" w:customStyle="1">
    <w:name w:val="Proposal"/>
    <w:basedOn w:val="TextBody"/>
    <w:qFormat/>
    <w:rsid w:val="00174b78"/>
    <w:pPr>
      <w:tabs>
        <w:tab w:val="left" w:pos="1701" w:leader="none"/>
      </w:tabs>
      <w:spacing w:lineRule="auto" w:line="259" w:before="0" w:after="120"/>
      <w:jc w:val="both"/>
    </w:pPr>
    <w:rPr>
      <w:rFonts w:ascii="Arial" w:hAnsi="Arial" w:eastAsia="Calibri" w:cs="" w:cstheme="minorBidi" w:eastAsiaTheme="minorHAnsi"/>
      <w:b/>
      <w:bCs/>
      <w:szCs w:val="22"/>
      <w:lang w:val="en-GB" w:eastAsia="zh-CN"/>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qFormat/>
    <w:rsid w:val="004b3bb9"/>
    <w:pPr>
      <w:spacing w:after="0" w:line="240" w:lineRule="auto"/>
    </w:pPr>
    <w:rPr>
      <w:lang w:eastAsia="ja-JP"/>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Application>LibreOffice/5.1.6.2$Linux_X86_64 LibreOffice_project/10m0$Build-2</Application>
  <Pages>5</Pages>
  <Words>2607</Words>
  <CharactersWithSpaces>14861</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2021-04-06T01:51:00Z</dcterms:created>
  <dc:creator>cewit</dc:creator>
  <dc:description/>
  <dc:language>en-IN</dc:language>
  <cp:lastModifiedBy>cewit</cp:lastModifiedBy>
  <dcterms:modified xsi:type="dcterms:W3CDTF">2021-04-06T01:59:00Z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